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2063289</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74A92">
      <w:pPr>
        <w:pStyle w:val="David"/>
        <w:spacing w:line="276"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איתן ברושי</w:t>
      </w:r>
      <w:r>
        <w:br/>
      </w:r>
      <w:r>
        <w:rPr>
          <w:rFonts w:hint="cs"/>
          <w:b/>
          <w:bCs/>
          <w:rtl/>
        </w:rPr>
        <w:t xml:space="preserve"> </w:t>
      </w:r>
      <w:r>
        <w:tab/>
      </w:r>
      <w:r>
        <w:tab/>
      </w:r>
      <w:r>
        <w:tab/>
      </w:r>
      <w:r>
        <w:tab/>
      </w:r>
      <w:r>
        <w:rPr>
          <w:rFonts w:hint="cs"/>
          <w:b/>
          <w:bCs/>
          <w:rtl/>
        </w:rPr>
        <w:t>איל בן ראובן</w:t>
      </w:r>
      <w:r>
        <w:br/>
      </w:r>
      <w:r>
        <w:rPr>
          <w:rFonts w:hint="cs"/>
          <w:b/>
          <w:bCs/>
          <w:rtl/>
        </w:rPr>
        <w:t xml:space="preserve"> </w:t>
      </w:r>
      <w:r>
        <w:tab/>
      </w:r>
      <w:r>
        <w:tab/>
      </w:r>
      <w:r>
        <w:tab/>
      </w:r>
      <w:r>
        <w:tab/>
      </w:r>
      <w:r>
        <w:rPr>
          <w:rFonts w:hint="cs"/>
          <w:b/>
          <w:bCs/>
          <w:rtl/>
        </w:rPr>
        <w:t>סאלח סעד</w:t>
      </w:r>
      <w:r>
        <w:br/>
      </w:r>
      <w:r>
        <w:rPr>
          <w:rFonts w:hint="cs"/>
          <w:b/>
          <w:bCs/>
          <w:rtl/>
        </w:rPr>
        <w:t xml:space="preserve"> </w:t>
      </w:r>
      <w:r>
        <w:tab/>
      </w:r>
      <w:r>
        <w:tab/>
      </w:r>
      <w:r>
        <w:tab/>
      </w:r>
      <w:r>
        <w:tab/>
      </w:r>
      <w:r>
        <w:rPr>
          <w:rFonts w:hint="cs"/>
          <w:b/>
          <w:bCs/>
          <w:rtl/>
        </w:rPr>
        <w:t xml:space="preserve">לאה </w:t>
      </w:r>
      <w:proofErr w:type="spellStart"/>
      <w:r>
        <w:rPr>
          <w:rFonts w:hint="cs"/>
          <w:b/>
          <w:bCs/>
          <w:rtl/>
        </w:rPr>
        <w:t>פדידה</w:t>
      </w:r>
      <w:proofErr w:type="spellEnd"/>
      <w:r>
        <w:br/>
      </w:r>
      <w:r>
        <w:rPr>
          <w:rFonts w:hint="cs"/>
          <w:b/>
          <w:bCs/>
          <w:rtl/>
        </w:rPr>
        <w:t xml:space="preserve"> </w:t>
      </w:r>
      <w:r>
        <w:tab/>
      </w:r>
      <w:r>
        <w:tab/>
      </w:r>
      <w:r>
        <w:tab/>
      </w:r>
      <w:r>
        <w:tab/>
      </w:r>
      <w:r>
        <w:rPr>
          <w:rFonts w:hint="cs"/>
          <w:b/>
          <w:bCs/>
          <w:rtl/>
        </w:rPr>
        <w:t>עמר בר-לב</w:t>
      </w:r>
      <w:r>
        <w:br/>
      </w:r>
      <w:r>
        <w:rPr>
          <w:rFonts w:hint="cs"/>
          <w:b/>
          <w:bCs/>
          <w:rtl/>
        </w:rPr>
        <w:t xml:space="preserve"> </w:t>
      </w:r>
      <w:r>
        <w:tab/>
      </w:r>
      <w:r>
        <w:tab/>
      </w:r>
      <w:r>
        <w:tab/>
      </w:r>
      <w:r>
        <w:tab/>
      </w:r>
      <w:r>
        <w:rPr>
          <w:rFonts w:hint="cs"/>
          <w:b/>
          <w:bCs/>
          <w:rtl/>
        </w:rPr>
        <w:t xml:space="preserve">יחיאל </w:t>
      </w:r>
      <w:proofErr w:type="spellStart"/>
      <w:r>
        <w:rPr>
          <w:rFonts w:hint="cs"/>
          <w:b/>
          <w:bCs/>
          <w:rtl/>
        </w:rPr>
        <w:t>חיליק</w:t>
      </w:r>
      <w:proofErr w:type="spellEnd"/>
      <w:r>
        <w:rPr>
          <w:rFonts w:hint="cs"/>
          <w:b/>
          <w:bCs/>
          <w:rtl/>
        </w:rPr>
        <w:t xml:space="preserve"> בר</w:t>
      </w:r>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יפעת שאשא ביטון</w:t>
      </w:r>
      <w:r>
        <w:br/>
      </w:r>
      <w:r>
        <w:rPr>
          <w:rFonts w:hint="cs"/>
          <w:b/>
          <w:bCs/>
          <w:rtl/>
        </w:rPr>
        <w:t xml:space="preserve"> </w:t>
      </w:r>
      <w:r>
        <w:tab/>
      </w:r>
      <w:r>
        <w:tab/>
      </w:r>
      <w:r>
        <w:tab/>
      </w:r>
      <w:r>
        <w:tab/>
      </w:r>
      <w:r>
        <w:rPr>
          <w:rFonts w:hint="cs"/>
          <w:b/>
          <w:bCs/>
          <w:rtl/>
        </w:rPr>
        <w:t>אכרם חסון</w:t>
      </w:r>
      <w:r>
        <w:br/>
      </w:r>
      <w:r>
        <w:rPr>
          <w:rFonts w:hint="cs"/>
          <w:b/>
          <w:bCs/>
          <w:rtl/>
        </w:rPr>
        <w:t xml:space="preserve"> </w:t>
      </w:r>
      <w:r>
        <w:tab/>
      </w:r>
      <w:r>
        <w:tab/>
      </w:r>
      <w:r>
        <w:tab/>
      </w:r>
      <w:r>
        <w:tab/>
      </w:r>
      <w:proofErr w:type="spellStart"/>
      <w:r>
        <w:rPr>
          <w:rFonts w:hint="cs"/>
          <w:b/>
          <w:bCs/>
          <w:rtl/>
        </w:rPr>
        <w:t>מוסי</w:t>
      </w:r>
      <w:proofErr w:type="spellEnd"/>
      <w:r>
        <w:rPr>
          <w:rFonts w:hint="cs"/>
          <w:b/>
          <w:bCs/>
          <w:rtl/>
        </w:rPr>
        <w:t xml:space="preserve"> רז</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 xml:space="preserve">יעקב </w:t>
      </w:r>
      <w:proofErr w:type="spellStart"/>
      <w:r>
        <w:rPr>
          <w:rFonts w:hint="cs"/>
          <w:b/>
          <w:bCs/>
          <w:rtl/>
        </w:rPr>
        <w:t>מרגי</w:t>
      </w:r>
      <w:proofErr w:type="spellEnd"/>
      <w:r>
        <w:br/>
      </w:r>
      <w:r>
        <w:rPr>
          <w:rFonts w:hint="cs"/>
          <w:b/>
          <w:bCs/>
          <w:rtl/>
        </w:rPr>
        <w:t xml:space="preserve"> </w:t>
      </w:r>
      <w:r>
        <w:tab/>
      </w:r>
      <w:r>
        <w:tab/>
      </w:r>
      <w:r>
        <w:tab/>
      </w:r>
      <w:r>
        <w:tab/>
      </w:r>
      <w:r>
        <w:rPr>
          <w:rFonts w:hint="cs"/>
          <w:b/>
          <w:bCs/>
          <w:rtl/>
        </w:rPr>
        <w:t>ניסן סלומינסקי</w:t>
      </w:r>
      <w:r>
        <w:br/>
      </w:r>
      <w:r>
        <w:rPr>
          <w:rFonts w:hint="cs"/>
          <w:b/>
          <w:bCs/>
          <w:rtl/>
        </w:rPr>
        <w:t xml:space="preserve"> </w:t>
      </w:r>
      <w:r>
        <w:tab/>
      </w:r>
      <w:r>
        <w:tab/>
      </w:r>
      <w:r>
        <w:tab/>
      </w:r>
      <w:r>
        <w:tab/>
      </w:r>
      <w:r>
        <w:rPr>
          <w:rFonts w:hint="cs"/>
          <w:b/>
          <w:bCs/>
          <w:rtl/>
        </w:rPr>
        <w:t>נאוה בוקר</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רויטל סויד</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מאיר כהן</w:t>
      </w:r>
      <w:r>
        <w:br/>
      </w:r>
      <w:r>
        <w:rPr>
          <w:rFonts w:hint="cs"/>
          <w:b/>
          <w:bCs/>
          <w:rtl/>
        </w:rPr>
        <w:t xml:space="preserve"> </w:t>
      </w:r>
      <w:r>
        <w:tab/>
      </w:r>
      <w:r>
        <w:tab/>
      </w:r>
      <w:r>
        <w:tab/>
      </w:r>
      <w:r>
        <w:tab/>
      </w:r>
      <w:r>
        <w:rPr>
          <w:rFonts w:hint="cs"/>
          <w:b/>
          <w:bCs/>
          <w:rtl/>
        </w:rPr>
        <w:t xml:space="preserve">טלי </w:t>
      </w:r>
      <w:proofErr w:type="spellStart"/>
      <w:r>
        <w:rPr>
          <w:rFonts w:hint="cs"/>
          <w:b/>
          <w:bCs/>
          <w:rtl/>
        </w:rPr>
        <w:t>פלוסקוב</w:t>
      </w:r>
      <w:proofErr w:type="spellEnd"/>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יהודה גליק</w:t>
      </w:r>
      <w:r>
        <w:br/>
      </w:r>
      <w:r>
        <w:rPr>
          <w:rFonts w:hint="cs"/>
          <w:b/>
          <w:bCs/>
          <w:rtl/>
        </w:rPr>
        <w:t xml:space="preserve"> </w:t>
      </w:r>
      <w:r>
        <w:tab/>
      </w:r>
      <w:r>
        <w:tab/>
      </w:r>
      <w:r>
        <w:tab/>
      </w:r>
      <w:r>
        <w:tab/>
      </w:r>
      <w:r>
        <w:rPr>
          <w:rFonts w:hint="cs"/>
          <w:b/>
          <w:bCs/>
          <w:rtl/>
        </w:rPr>
        <w:t>אילן גילאון</w:t>
      </w:r>
      <w:r>
        <w:br/>
      </w:r>
      <w:r>
        <w:rPr>
          <w:rFonts w:hint="cs"/>
          <w:b/>
          <w:bCs/>
          <w:rtl/>
        </w:rPr>
        <w:t xml:space="preserve"> </w:t>
      </w:r>
      <w:r>
        <w:tab/>
      </w:r>
      <w:r>
        <w:tab/>
      </w:r>
      <w:r>
        <w:tab/>
      </w:r>
      <w:r>
        <w:tab/>
      </w:r>
      <w:r>
        <w:rPr>
          <w:rFonts w:hint="cs"/>
          <w:b/>
          <w:bCs/>
          <w:rtl/>
        </w:rPr>
        <w:t xml:space="preserve">אורי </w:t>
      </w:r>
      <w:proofErr w:type="spellStart"/>
      <w:r>
        <w:rPr>
          <w:rFonts w:hint="cs"/>
          <w:b/>
          <w:bCs/>
          <w:rtl/>
        </w:rPr>
        <w:t>מקלב</w:t>
      </w:r>
      <w:proofErr w:type="spellEnd"/>
      <w:r>
        <w:br/>
      </w:r>
      <w:r>
        <w:rPr>
          <w:rFonts w:hint="cs"/>
          <w:b/>
          <w:bCs/>
          <w:rtl/>
        </w:rPr>
        <w:t xml:space="preserve"> </w:t>
      </w:r>
      <w:r>
        <w:tab/>
      </w:r>
      <w:r>
        <w:tab/>
      </w:r>
      <w:r>
        <w:tab/>
      </w:r>
      <w:r>
        <w:tab/>
      </w:r>
      <w:r>
        <w:rPr>
          <w:rFonts w:hint="cs"/>
          <w:b/>
          <w:bCs/>
          <w:rtl/>
        </w:rPr>
        <w:t xml:space="preserve">מיכאל </w:t>
      </w:r>
      <w:proofErr w:type="spellStart"/>
      <w:r>
        <w:rPr>
          <w:rFonts w:hint="cs"/>
          <w:b/>
          <w:bCs/>
          <w:rtl/>
        </w:rPr>
        <w:t>מלכיאלי</w:t>
      </w:r>
      <w:bookmarkEnd w:id="4"/>
      <w:proofErr w:type="spellEnd"/>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5" w:name="Private_Number"/>
      <w:r>
        <w:rPr>
          <w:rFonts w:hint="cs"/>
          <w:rtl/>
        </w:rPr>
        <w:t>פ/5153/20</w:t>
      </w:r>
      <w:bookmarkEnd w:id="5"/>
    </w:p>
    <w:p w14:paraId="7F6961AE" w14:textId="01092653" w:rsidR="00E13C27" w:rsidRDefault="00A443CF" w:rsidP="004C2306">
      <w:pPr>
        <w:pStyle w:val="HeadHatzaotHok"/>
        <w:rPr>
          <w:rtl/>
        </w:rPr>
      </w:pPr>
      <w:bookmarkStart w:id="6" w:name="LGS_Subject"/>
      <w:r>
        <w:rPr>
          <w:rFonts w:hint="cs"/>
          <w:rtl/>
        </w:rPr>
        <w:t xml:space="preserve">הצעת חוק קידום התחרות בענף המזון (תיקון </w:t>
      </w:r>
      <w:r w:rsidR="005D2346">
        <w:rPr>
          <w:rFonts w:hint="eastAsia"/>
          <w:rtl/>
        </w:rPr>
        <w:t>–</w:t>
      </w:r>
      <w:r>
        <w:rPr>
          <w:rFonts w:hint="cs"/>
          <w:rtl/>
        </w:rPr>
        <w:t xml:space="preserve"> איסור על מכירת מוצרים במחירי הפסד), </w:t>
      </w:r>
      <w:r w:rsidR="00D35DDA">
        <w:rPr>
          <w:rtl/>
        </w:rPr>
        <w:br/>
      </w:r>
      <w:proofErr w:type="spellStart"/>
      <w:r>
        <w:rPr>
          <w:rFonts w:hint="cs"/>
          <w:rtl/>
        </w:rPr>
        <w:t>התשע"ח</w:t>
      </w:r>
      <w:proofErr w:type="spellEnd"/>
      <w:r w:rsidR="005D2346">
        <w:rPr>
          <w:rFonts w:hint="eastAsia"/>
          <w:rtl/>
        </w:rPr>
        <w:t>–</w:t>
      </w:r>
      <w:r>
        <w:rPr>
          <w:rFonts w:hint="cs"/>
          <w:rtl/>
        </w:rPr>
        <w:t>2018</w:t>
      </w:r>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50"/>
      </w:tblGrid>
      <w:tr w:rsidR="002F1D80" w14:paraId="035EEF3D" w14:textId="77777777" w:rsidTr="002C3041">
        <w:trPr>
          <w:cantSplit/>
          <w:trHeight w:val="60"/>
        </w:trPr>
        <w:tc>
          <w:tcPr>
            <w:tcW w:w="1871" w:type="dxa"/>
          </w:tcPr>
          <w:p w14:paraId="3863FF98" w14:textId="60BB244C" w:rsidR="002F1D80" w:rsidRDefault="007A26CF" w:rsidP="002C3041">
            <w:pPr>
              <w:pStyle w:val="TableSideHeading"/>
              <w:keepLines w:val="0"/>
            </w:pPr>
            <w:r>
              <w:rPr>
                <w:rFonts w:hint="cs"/>
                <w:rtl/>
              </w:rPr>
              <w:t xml:space="preserve">הוספת </w:t>
            </w:r>
            <w:r w:rsidR="005F402C">
              <w:rPr>
                <w:rFonts w:hint="cs"/>
                <w:rtl/>
              </w:rPr>
              <w:t>סעיף 8</w:t>
            </w:r>
            <w:r>
              <w:rPr>
                <w:rFonts w:hint="cs"/>
                <w:rtl/>
              </w:rPr>
              <w:t>א</w:t>
            </w:r>
            <w:r w:rsidR="005F402C">
              <w:rPr>
                <w:rFonts w:hint="cs"/>
                <w:rtl/>
              </w:rPr>
              <w:t xml:space="preserve"> </w:t>
            </w:r>
          </w:p>
        </w:tc>
        <w:tc>
          <w:tcPr>
            <w:tcW w:w="624" w:type="dxa"/>
          </w:tcPr>
          <w:p w14:paraId="6F513EF6" w14:textId="6CD7D30C" w:rsidR="002F1D80" w:rsidRDefault="00322CDC" w:rsidP="002C3041">
            <w:pPr>
              <w:pStyle w:val="TableText"/>
              <w:keepLines w:val="0"/>
            </w:pPr>
            <w:r>
              <w:rPr>
                <w:rFonts w:hint="cs"/>
                <w:rtl/>
              </w:rPr>
              <w:t>1.</w:t>
            </w:r>
          </w:p>
        </w:tc>
        <w:tc>
          <w:tcPr>
            <w:tcW w:w="7146" w:type="dxa"/>
            <w:gridSpan w:val="3"/>
          </w:tcPr>
          <w:p w14:paraId="1AE94DEB" w14:textId="4591D341" w:rsidR="002F1D80" w:rsidRPr="00322CDC" w:rsidRDefault="005F402C" w:rsidP="00DB666B">
            <w:pPr>
              <w:pStyle w:val="TableBlock"/>
            </w:pPr>
            <w:r w:rsidRPr="00322CDC">
              <w:rPr>
                <w:rFonts w:hint="cs"/>
                <w:rtl/>
              </w:rPr>
              <w:t xml:space="preserve">בחוק קידום התחרות בענף המזון, </w:t>
            </w:r>
            <w:proofErr w:type="spellStart"/>
            <w:r w:rsidRPr="00322CDC">
              <w:rPr>
                <w:rFonts w:hint="cs"/>
                <w:rtl/>
              </w:rPr>
              <w:t>התשע"ד</w:t>
            </w:r>
            <w:proofErr w:type="spellEnd"/>
            <w:r w:rsidR="00322CDC">
              <w:rPr>
                <w:rFonts w:hint="eastAsia"/>
                <w:rtl/>
              </w:rPr>
              <w:t>–</w:t>
            </w:r>
            <w:r w:rsidRPr="00322CDC">
              <w:rPr>
                <w:rFonts w:hint="cs"/>
                <w:rtl/>
              </w:rPr>
              <w:t>2014</w:t>
            </w:r>
            <w:r w:rsidR="005A1CF4">
              <w:rPr>
                <w:rStyle w:val="a5"/>
                <w:rtl/>
              </w:rPr>
              <w:footnoteReference w:id="2"/>
            </w:r>
            <w:r w:rsidRPr="00322CDC">
              <w:rPr>
                <w:rFonts w:hint="cs"/>
                <w:rtl/>
              </w:rPr>
              <w:t xml:space="preserve">, אחרי סעיף </w:t>
            </w:r>
            <w:r w:rsidR="007A26CF">
              <w:rPr>
                <w:rFonts w:hint="cs"/>
                <w:rtl/>
              </w:rPr>
              <w:t>8</w:t>
            </w:r>
            <w:r w:rsidRPr="00322CDC">
              <w:rPr>
                <w:rFonts w:hint="cs"/>
                <w:rtl/>
              </w:rPr>
              <w:t xml:space="preserve"> יבוא:</w:t>
            </w:r>
          </w:p>
        </w:tc>
      </w:tr>
      <w:tr w:rsidR="007A26CF" w14:paraId="359BDE0D" w14:textId="77777777">
        <w:trPr>
          <w:cantSplit/>
          <w:trHeight w:val="60"/>
        </w:trPr>
        <w:tc>
          <w:tcPr>
            <w:tcW w:w="1871" w:type="dxa"/>
          </w:tcPr>
          <w:p w14:paraId="2476BEC8" w14:textId="77777777" w:rsidR="007A26CF" w:rsidRDefault="007A26CF">
            <w:pPr>
              <w:pStyle w:val="TableSideHeading"/>
              <w:keepLines w:val="0"/>
            </w:pPr>
          </w:p>
        </w:tc>
        <w:tc>
          <w:tcPr>
            <w:tcW w:w="624" w:type="dxa"/>
          </w:tcPr>
          <w:p w14:paraId="7A81D053" w14:textId="77777777" w:rsidR="007A26CF" w:rsidRDefault="007A26CF">
            <w:pPr>
              <w:pStyle w:val="TableText"/>
              <w:keepLines w:val="0"/>
            </w:pPr>
          </w:p>
        </w:tc>
        <w:tc>
          <w:tcPr>
            <w:tcW w:w="1872" w:type="dxa"/>
          </w:tcPr>
          <w:p w14:paraId="6121FFE7" w14:textId="727EFA32" w:rsidR="007A26CF" w:rsidRDefault="007A26CF">
            <w:pPr>
              <w:pStyle w:val="TableInnerSideHeading"/>
            </w:pPr>
            <w:r>
              <w:rPr>
                <w:rFonts w:hint="cs"/>
                <w:rtl/>
              </w:rPr>
              <w:t>"איסור מכירה לצרכן במחירי הפסד</w:t>
            </w:r>
          </w:p>
        </w:tc>
        <w:tc>
          <w:tcPr>
            <w:tcW w:w="624" w:type="dxa"/>
          </w:tcPr>
          <w:p w14:paraId="70633594" w14:textId="6F2E632E" w:rsidR="007A26CF" w:rsidRDefault="007A26CF">
            <w:pPr>
              <w:pStyle w:val="TableText"/>
            </w:pPr>
            <w:r>
              <w:rPr>
                <w:rFonts w:hint="cs"/>
                <w:rtl/>
              </w:rPr>
              <w:t>8א.</w:t>
            </w:r>
          </w:p>
        </w:tc>
        <w:tc>
          <w:tcPr>
            <w:tcW w:w="4650" w:type="dxa"/>
          </w:tcPr>
          <w:p w14:paraId="290B67DA" w14:textId="2AB7F8E3" w:rsidR="007A26CF" w:rsidRDefault="007A26CF" w:rsidP="00DB666B">
            <w:pPr>
              <w:pStyle w:val="TableBlock"/>
            </w:pPr>
            <w:r>
              <w:rPr>
                <w:rFonts w:hint="cs"/>
                <w:rtl/>
              </w:rPr>
              <w:t>קמעונאי לא ימכור לצרכן מצרך במחיר הנמוך מהמחיר שבו רכש הקמעונאי את המצרך."</w:t>
            </w:r>
          </w:p>
        </w:tc>
      </w:tr>
    </w:tbl>
    <w:p w14:paraId="7F6961CA" w14:textId="77777777" w:rsidR="002D1EE3" w:rsidRDefault="002D1EE3" w:rsidP="002D1EE3">
      <w:pPr>
        <w:pStyle w:val="HeadDivreiHesber"/>
        <w:rPr>
          <w:rtl/>
        </w:rPr>
      </w:pPr>
      <w:r w:rsidRPr="0027450A">
        <w:rPr>
          <w:rFonts w:hint="cs"/>
          <w:rtl/>
        </w:rPr>
        <w:t>דברי הסבר</w:t>
      </w:r>
    </w:p>
    <w:p w14:paraId="1F23701B" w14:textId="0AEDB173" w:rsidR="00100E6C" w:rsidRDefault="005F402C" w:rsidP="00DB666B">
      <w:pPr>
        <w:pStyle w:val="Hesber"/>
        <w:ind w:firstLine="0"/>
        <w:rPr>
          <w:rtl/>
        </w:rPr>
      </w:pPr>
      <w:r>
        <w:rPr>
          <w:rtl/>
        </w:rPr>
        <w:t xml:space="preserve">מטרת הצעת החוק </w:t>
      </w:r>
      <w:r w:rsidR="00860389">
        <w:rPr>
          <w:rFonts w:hint="cs"/>
          <w:rtl/>
        </w:rPr>
        <w:t>היא</w:t>
      </w:r>
      <w:r w:rsidR="00860389">
        <w:rPr>
          <w:rtl/>
        </w:rPr>
        <w:t xml:space="preserve"> </w:t>
      </w:r>
      <w:r>
        <w:rPr>
          <w:rtl/>
        </w:rPr>
        <w:t>לאסור מכירת מוצרים לצרכן הסופי במחירי הפסד</w:t>
      </w:r>
      <w:r w:rsidR="00860389">
        <w:rPr>
          <w:rFonts w:hint="cs"/>
          <w:rtl/>
        </w:rPr>
        <w:t>,</w:t>
      </w:r>
      <w:r>
        <w:rPr>
          <w:rtl/>
        </w:rPr>
        <w:t xml:space="preserve"> בשיטה השיווקית הידועה בשם "</w:t>
      </w:r>
      <w:r w:rsidR="005A1CF4">
        <w:rPr>
          <w:rFonts w:hint="cs"/>
          <w:rtl/>
        </w:rPr>
        <w:t>לוס לידר</w:t>
      </w:r>
      <w:r>
        <w:rPr>
          <w:rtl/>
        </w:rPr>
        <w:t>"</w:t>
      </w:r>
      <w:r w:rsidR="00B57A47">
        <w:rPr>
          <w:rFonts w:hint="cs"/>
          <w:rtl/>
        </w:rPr>
        <w:t xml:space="preserve"> (</w:t>
      </w:r>
      <w:r w:rsidR="00B57A47">
        <w:t>Loss-Leader</w:t>
      </w:r>
      <w:r w:rsidR="00B57A47">
        <w:rPr>
          <w:rFonts w:hint="cs"/>
          <w:rtl/>
        </w:rPr>
        <w:t>)</w:t>
      </w:r>
      <w:r>
        <w:rPr>
          <w:rtl/>
        </w:rPr>
        <w:t xml:space="preserve">. מכירת מוצרים </w:t>
      </w:r>
      <w:r w:rsidR="00860389">
        <w:rPr>
          <w:rFonts w:hint="cs"/>
          <w:rtl/>
        </w:rPr>
        <w:t>בשיטה זו</w:t>
      </w:r>
      <w:r>
        <w:rPr>
          <w:rtl/>
        </w:rPr>
        <w:t xml:space="preserve"> </w:t>
      </w:r>
      <w:r w:rsidR="00860389">
        <w:rPr>
          <w:rFonts w:hint="cs"/>
          <w:rtl/>
        </w:rPr>
        <w:t>היא</w:t>
      </w:r>
      <w:r w:rsidR="00860389">
        <w:rPr>
          <w:rtl/>
        </w:rPr>
        <w:t xml:space="preserve"> </w:t>
      </w:r>
      <w:r>
        <w:rPr>
          <w:rtl/>
        </w:rPr>
        <w:t xml:space="preserve">טכניקה שיווקית בענף הקמעונאות המודרנית, </w:t>
      </w:r>
      <w:r w:rsidR="00860389">
        <w:rPr>
          <w:rFonts w:hint="cs"/>
          <w:rtl/>
        </w:rPr>
        <w:t>ש</w:t>
      </w:r>
      <w:r>
        <w:rPr>
          <w:rtl/>
        </w:rPr>
        <w:t>במסגרתה מוכרים קמעונאים מוצרים בעלי נפח מכירות גבוה, במחיר נמוך, עד כדי הפסד לקמעונאי, במטרה למשוך לקוחות לסניף ולהגדיל את תנועת הלקוחות. מוצרי</w:t>
      </w:r>
      <w:r w:rsidR="00860389">
        <w:rPr>
          <w:rFonts w:hint="cs"/>
          <w:rtl/>
        </w:rPr>
        <w:t>ם</w:t>
      </w:r>
      <w:r>
        <w:rPr>
          <w:rtl/>
        </w:rPr>
        <w:t xml:space="preserve"> </w:t>
      </w:r>
      <w:r w:rsidR="00860389">
        <w:rPr>
          <w:rFonts w:hint="cs"/>
          <w:rtl/>
        </w:rPr>
        <w:t>הנמכרים בשיטה זו הם</w:t>
      </w:r>
      <w:r>
        <w:rPr>
          <w:rtl/>
        </w:rPr>
        <w:t xml:space="preserve"> בדרך כלל מוצרי צריכה חשובים או בסיסיים, שהצרכן עשוי להגיע לחנות במיוחד בשבילם. לרוב, </w:t>
      </w:r>
      <w:r w:rsidR="00E96673">
        <w:rPr>
          <w:rFonts w:hint="cs"/>
          <w:rtl/>
        </w:rPr>
        <w:t>מדובר</w:t>
      </w:r>
      <w:r>
        <w:rPr>
          <w:rtl/>
        </w:rPr>
        <w:t xml:space="preserve"> </w:t>
      </w:r>
      <w:r w:rsidR="00E96673">
        <w:rPr>
          <w:rFonts w:hint="cs"/>
          <w:rtl/>
        </w:rPr>
        <w:t>ב</w:t>
      </w:r>
      <w:r>
        <w:rPr>
          <w:rtl/>
        </w:rPr>
        <w:t>מוצרים הנצרכים על בסיס קבוע</w:t>
      </w:r>
      <w:r w:rsidR="00860389">
        <w:rPr>
          <w:rFonts w:hint="cs"/>
          <w:rtl/>
        </w:rPr>
        <w:t>,</w:t>
      </w:r>
      <w:r>
        <w:rPr>
          <w:rtl/>
        </w:rPr>
        <w:t xml:space="preserve"> כך </w:t>
      </w:r>
      <w:r w:rsidR="00860389">
        <w:rPr>
          <w:rFonts w:hint="cs"/>
          <w:rtl/>
        </w:rPr>
        <w:t xml:space="preserve">שהמכירה בשיטה זו </w:t>
      </w:r>
      <w:r>
        <w:rPr>
          <w:rtl/>
        </w:rPr>
        <w:t>מרגיל</w:t>
      </w:r>
      <w:r w:rsidR="00860389">
        <w:rPr>
          <w:rFonts w:hint="cs"/>
          <w:rtl/>
        </w:rPr>
        <w:t>ה</w:t>
      </w:r>
      <w:r>
        <w:rPr>
          <w:rtl/>
        </w:rPr>
        <w:t xml:space="preserve"> את הקונה להגיע לחנות באופן תדיר. בין </w:t>
      </w:r>
      <w:r w:rsidR="005A1CF4">
        <w:rPr>
          <w:rFonts w:hint="cs"/>
          <w:rtl/>
        </w:rPr>
        <w:t xml:space="preserve">מוצרים </w:t>
      </w:r>
      <w:r>
        <w:rPr>
          <w:rtl/>
        </w:rPr>
        <w:t>אלו נמנים מוצרי יסוד</w:t>
      </w:r>
      <w:r w:rsidR="00860389">
        <w:rPr>
          <w:rFonts w:hint="cs"/>
          <w:rtl/>
        </w:rPr>
        <w:t>,</w:t>
      </w:r>
      <w:r>
        <w:rPr>
          <w:rtl/>
        </w:rPr>
        <w:t xml:space="preserve"> כגון עופות, פירות וירקות, משקאות קלים, קפה, מזון לתינוקות ומוצרים נוספים</w:t>
      </w:r>
      <w:r w:rsidR="00860389">
        <w:rPr>
          <w:rFonts w:hint="cs"/>
          <w:rtl/>
        </w:rPr>
        <w:t>,</w:t>
      </w:r>
      <w:r>
        <w:rPr>
          <w:rtl/>
        </w:rPr>
        <w:t xml:space="preserve"> בהתאם לסוג הרשת ואופייה של תרבות הצריכה המקומית.</w:t>
      </w:r>
      <w:r w:rsidR="00100E6C">
        <w:rPr>
          <w:rFonts w:hint="cs"/>
          <w:rtl/>
        </w:rPr>
        <w:t xml:space="preserve"> </w:t>
      </w:r>
      <w:r w:rsidR="00100E6C">
        <w:rPr>
          <w:rtl/>
        </w:rPr>
        <w:t xml:space="preserve">מדובר בטכניקה שיווקית שנויה במחלוקת, שהמתנגדים לה סבורים שהיא עשויה להטעות את הצרכנים ואף לפגוע בהם, </w:t>
      </w:r>
      <w:r w:rsidR="00860389">
        <w:rPr>
          <w:rFonts w:hint="cs"/>
          <w:rtl/>
        </w:rPr>
        <w:t xml:space="preserve">וכן </w:t>
      </w:r>
      <w:r w:rsidR="00100E6C">
        <w:rPr>
          <w:rtl/>
        </w:rPr>
        <w:t>לפגוע במתחרים, בספקים וביצרנים.</w:t>
      </w:r>
      <w:r w:rsidR="00100E6C">
        <w:rPr>
          <w:rFonts w:hint="cs"/>
          <w:rtl/>
        </w:rPr>
        <w:t xml:space="preserve"> </w:t>
      </w:r>
    </w:p>
    <w:p w14:paraId="5FE7DC13" w14:textId="2E7BD99D" w:rsidR="005F402C" w:rsidRDefault="005A1CF4" w:rsidP="00A531BB">
      <w:pPr>
        <w:pStyle w:val="Hesber"/>
        <w:rPr>
          <w:rtl/>
        </w:rPr>
      </w:pPr>
      <w:r>
        <w:rPr>
          <w:rFonts w:hint="cs"/>
          <w:rtl/>
        </w:rPr>
        <w:t xml:space="preserve">דוגמה </w:t>
      </w:r>
      <w:r w:rsidR="00100E6C">
        <w:rPr>
          <w:rFonts w:hint="cs"/>
          <w:rtl/>
        </w:rPr>
        <w:t xml:space="preserve">לעיוות שנוצר משימוש בשיטה זו היא בתוצרת החקלאית. </w:t>
      </w:r>
      <w:r w:rsidR="00100E6C">
        <w:rPr>
          <w:rtl/>
        </w:rPr>
        <w:t xml:space="preserve">מכירת תוצרת חקלאית מאופיינת במכירת תוצרת שאורך חיי המדף שלה קצר מלכתחילה ובהינתן לקמעונאים היכולת לייבא תוצרת חקלאית טרייה, נוצר מצב </w:t>
      </w:r>
      <w:r w:rsidR="005E004A">
        <w:rPr>
          <w:rFonts w:hint="cs"/>
          <w:rtl/>
        </w:rPr>
        <w:t>ש</w:t>
      </w:r>
      <w:r w:rsidR="00100E6C">
        <w:rPr>
          <w:rtl/>
        </w:rPr>
        <w:t xml:space="preserve">בו </w:t>
      </w:r>
      <w:r>
        <w:rPr>
          <w:rtl/>
        </w:rPr>
        <w:t>נית</w:t>
      </w:r>
      <w:r>
        <w:rPr>
          <w:rFonts w:hint="cs"/>
          <w:rtl/>
        </w:rPr>
        <w:t>נת</w:t>
      </w:r>
      <w:r>
        <w:rPr>
          <w:rtl/>
        </w:rPr>
        <w:t xml:space="preserve"> </w:t>
      </w:r>
      <w:r w:rsidR="00100E6C">
        <w:rPr>
          <w:rtl/>
        </w:rPr>
        <w:t>בידי הקמעונאי היכולת לווסת את ההיצע והביקוש באופן מלאכותי שיש בו כדי לקבע את פערי התיווך והפגיעה הכפולה הן בחקלאי והן בצרכן.</w:t>
      </w:r>
      <w:r>
        <w:rPr>
          <w:rFonts w:hint="cs"/>
          <w:rtl/>
        </w:rPr>
        <w:t xml:space="preserve"> </w:t>
      </w:r>
      <w:r w:rsidR="005F402C">
        <w:rPr>
          <w:rtl/>
        </w:rPr>
        <w:t xml:space="preserve">כפועל יוצא מכך, חוקקו במדינות שונות בעולם חוקים האוסרים או מגבילים מכירה של מוצרים במחירי הפסד. </w:t>
      </w:r>
    </w:p>
    <w:p w14:paraId="7961D587" w14:textId="38C0550D" w:rsidR="005F402C" w:rsidRDefault="005E004A" w:rsidP="005E004A">
      <w:pPr>
        <w:pStyle w:val="Hesber"/>
        <w:ind w:firstLine="0"/>
        <w:rPr>
          <w:rtl/>
        </w:rPr>
      </w:pPr>
      <w:r>
        <w:rPr>
          <w:rtl/>
        </w:rPr>
        <w:t>כך</w:t>
      </w:r>
      <w:r w:rsidR="005F402C">
        <w:rPr>
          <w:rtl/>
        </w:rPr>
        <w:t xml:space="preserve"> למשל, בשנת 1997 נחקק בצרפת חוק (</w:t>
      </w:r>
      <w:r w:rsidR="005F402C">
        <w:t xml:space="preserve">The </w:t>
      </w:r>
      <w:proofErr w:type="spellStart"/>
      <w:r w:rsidR="005F402C">
        <w:t>Galland</w:t>
      </w:r>
      <w:proofErr w:type="spellEnd"/>
      <w:r w:rsidR="005F402C">
        <w:t xml:space="preserve"> Law</w:t>
      </w:r>
      <w:r w:rsidR="005F402C">
        <w:rPr>
          <w:rtl/>
        </w:rPr>
        <w:t xml:space="preserve">) </w:t>
      </w:r>
      <w:r>
        <w:rPr>
          <w:rFonts w:hint="cs"/>
          <w:rtl/>
        </w:rPr>
        <w:t>ש</w:t>
      </w:r>
      <w:r w:rsidR="005F402C">
        <w:rPr>
          <w:rtl/>
        </w:rPr>
        <w:t>מגדיר סף תמחור שלא ניתן לרדת ממנו. סף זה מורכב מהמחיר שגובה הספק עבור יחידת מוצר בתוספת עלויות העברה. חוק דומה נחקק גם באירלנד ("</w:t>
      </w:r>
      <w:r w:rsidR="005F402C">
        <w:t>The Irish Groceries Order</w:t>
      </w:r>
      <w:r w:rsidR="005F402C">
        <w:rPr>
          <w:rtl/>
        </w:rPr>
        <w:t xml:space="preserve">") ובשווייץ. בדומה לאירופה, גם בחלק ניכר ממדינות ארה"ב קיים חוק הקובע איסור כללי על תמחור במחירי הפסד או איסור ספציפי החל על מוצרים מסוימים בלבד כגון דלק, טבק, אלכוהול או מוצרי חלב. חוקים אלו אוסרים על מכירת מוצרים מתחת לסף עלות מסוים. ההגדרה של הסף משתנה ממדינה למדינה, אך רוב המדינות מגדירות אותו כמחיר הרכישה, לרוב בתוספת מרווח קמעונאי נדרש. יצוין, כי בחלק מהמדינות המטרה לשמה נחקק החוק היא הגנה על הצרכן ואילו במדינות אחרות המטרה היא הגנה על עוסקים קטנים. </w:t>
      </w:r>
    </w:p>
    <w:p w14:paraId="59A55B7E" w14:textId="405C13B6" w:rsidR="005F402C" w:rsidRDefault="005F402C" w:rsidP="005E004A">
      <w:pPr>
        <w:pStyle w:val="Hesber"/>
        <w:rPr>
          <w:rtl/>
        </w:rPr>
      </w:pPr>
      <w:r>
        <w:rPr>
          <w:rtl/>
        </w:rPr>
        <w:t>גם בישראל נערכו דיונים בנושא. לאחר שספקים פנו אל הממונה על הגבלים עסקיים בשנת 2005, האחרון פרסם את עמדתו, לפיה יש לטפל בפרקטיקה באמצעות חוק ההגבלים העסקיים</w:t>
      </w:r>
      <w:r w:rsidR="005E004A">
        <w:rPr>
          <w:rFonts w:hint="cs"/>
          <w:rtl/>
        </w:rPr>
        <w:t xml:space="preserve">, </w:t>
      </w:r>
      <w:proofErr w:type="spellStart"/>
      <w:r w:rsidR="005E004A">
        <w:rPr>
          <w:rFonts w:hint="cs"/>
          <w:rtl/>
        </w:rPr>
        <w:t>התשמ"ח</w:t>
      </w:r>
      <w:proofErr w:type="spellEnd"/>
      <w:r w:rsidR="005E004A">
        <w:rPr>
          <w:rFonts w:hint="eastAsia"/>
          <w:rtl/>
        </w:rPr>
        <w:t>–</w:t>
      </w:r>
      <w:r w:rsidR="005E004A">
        <w:rPr>
          <w:rFonts w:hint="cs"/>
          <w:rtl/>
        </w:rPr>
        <w:t>1988</w:t>
      </w:r>
      <w:r>
        <w:rPr>
          <w:rtl/>
        </w:rPr>
        <w:t xml:space="preserve"> רק כאשר יש בתמחור שימוש מתמשך וקיצוני לצורך דחיקת מתחרים מהשוק. מטבע הדברים, עמדה זו של הממונה </w:t>
      </w:r>
      <w:r w:rsidR="005E004A">
        <w:rPr>
          <w:rFonts w:hint="cs"/>
          <w:rtl/>
        </w:rPr>
        <w:t>היא</w:t>
      </w:r>
      <w:r>
        <w:rPr>
          <w:rtl/>
        </w:rPr>
        <w:t xml:space="preserve"> מנקודת מבט תחרותית ולא מנקודת מבטו של הצרכן העומדת בבסיסה של הצעת חוק זו. </w:t>
      </w:r>
    </w:p>
    <w:p w14:paraId="6AF309F1" w14:textId="1321E0F1" w:rsidR="005F402C" w:rsidRDefault="005F402C" w:rsidP="005E004A">
      <w:pPr>
        <w:pStyle w:val="Hesber"/>
        <w:rPr>
          <w:rtl/>
        </w:rPr>
      </w:pPr>
      <w:r>
        <w:rPr>
          <w:rtl/>
        </w:rPr>
        <w:t>הדיון בנושא עלה שוב בשנת 2014</w:t>
      </w:r>
      <w:r w:rsidR="00860389">
        <w:rPr>
          <w:rFonts w:hint="cs"/>
          <w:rtl/>
        </w:rPr>
        <w:t>,</w:t>
      </w:r>
      <w:r>
        <w:rPr>
          <w:rtl/>
        </w:rPr>
        <w:t xml:space="preserve"> במסגרת דיוני הוועדה המשותפת לכלכלה וכספים</w:t>
      </w:r>
      <w:r w:rsidR="00B57A47">
        <w:rPr>
          <w:rFonts w:hint="cs"/>
          <w:rtl/>
        </w:rPr>
        <w:t xml:space="preserve"> (להלן </w:t>
      </w:r>
      <w:r w:rsidR="00B57A47">
        <w:rPr>
          <w:rtl/>
        </w:rPr>
        <w:t>–</w:t>
      </w:r>
      <w:r w:rsidR="00B57A47">
        <w:rPr>
          <w:rFonts w:hint="cs"/>
          <w:rtl/>
        </w:rPr>
        <w:t xml:space="preserve"> הוועדה המשותפת)</w:t>
      </w:r>
      <w:r>
        <w:rPr>
          <w:rtl/>
        </w:rPr>
        <w:t xml:space="preserve"> </w:t>
      </w:r>
      <w:r w:rsidR="00B57A47">
        <w:rPr>
          <w:rFonts w:hint="cs"/>
          <w:rtl/>
        </w:rPr>
        <w:t>ב</w:t>
      </w:r>
      <w:r>
        <w:rPr>
          <w:rtl/>
        </w:rPr>
        <w:t>חוק קידום התחרות בענף המזון</w:t>
      </w:r>
      <w:r w:rsidR="005A1CF4">
        <w:rPr>
          <w:rFonts w:hint="cs"/>
          <w:rtl/>
        </w:rPr>
        <w:t xml:space="preserve">, </w:t>
      </w:r>
      <w:proofErr w:type="spellStart"/>
      <w:r w:rsidR="005A1CF4">
        <w:rPr>
          <w:rFonts w:hint="cs"/>
          <w:rtl/>
        </w:rPr>
        <w:t>התשע"ד</w:t>
      </w:r>
      <w:proofErr w:type="spellEnd"/>
      <w:r w:rsidR="005A1CF4">
        <w:rPr>
          <w:rFonts w:hint="eastAsia"/>
          <w:rtl/>
        </w:rPr>
        <w:t>–</w:t>
      </w:r>
      <w:r w:rsidR="005A1CF4">
        <w:rPr>
          <w:rFonts w:hint="cs"/>
          <w:rtl/>
        </w:rPr>
        <w:t>2014</w:t>
      </w:r>
      <w:r w:rsidR="005E004A">
        <w:rPr>
          <w:rFonts w:hint="cs"/>
          <w:rtl/>
        </w:rPr>
        <w:t xml:space="preserve"> (להלן </w:t>
      </w:r>
      <w:r w:rsidR="005E004A">
        <w:rPr>
          <w:rtl/>
        </w:rPr>
        <w:t>–</w:t>
      </w:r>
      <w:r w:rsidR="005E004A">
        <w:rPr>
          <w:rFonts w:hint="cs"/>
          <w:rtl/>
        </w:rPr>
        <w:t xml:space="preserve"> חוק המזון)</w:t>
      </w:r>
      <w:r>
        <w:rPr>
          <w:rtl/>
        </w:rPr>
        <w:t xml:space="preserve">. </w:t>
      </w:r>
      <w:r w:rsidR="00860389">
        <w:rPr>
          <w:rFonts w:hint="cs"/>
          <w:rtl/>
        </w:rPr>
        <w:t>ב</w:t>
      </w:r>
      <w:r>
        <w:rPr>
          <w:rtl/>
        </w:rPr>
        <w:t xml:space="preserve">דיוני </w:t>
      </w:r>
      <w:r w:rsidR="00B57A47">
        <w:rPr>
          <w:rFonts w:hint="cs"/>
          <w:rtl/>
        </w:rPr>
        <w:t>הוועדה המשותפת,</w:t>
      </w:r>
      <w:r>
        <w:rPr>
          <w:rtl/>
        </w:rPr>
        <w:t xml:space="preserve"> עלה החשש מהנזק לצרכן שגלום בשיטת השיווק במחירי הפסד, כך שהצרכן יתפתה לחשוב שהוא חוסך על הקנייה כולה בזכות המוצר שנמכר במחיר הפסד, בעוד שמחיר הסל הכולל יהיה גבוה, אף </w:t>
      </w:r>
      <w:r>
        <w:rPr>
          <w:rtl/>
        </w:rPr>
        <w:lastRenderedPageBreak/>
        <w:t>יותר מהרגיל (כלומר, המוצר שנמכר בהפסד מסובסד על ידי מוצרים אחרים ואף מביא לעליית מחירים של הסל הכולל). הממונה על הגבלים עסקיים דאז, סבר כי פרק שקיפות המחירים בחוק המזון פותר את החששות הצרכניים</w:t>
      </w:r>
      <w:r w:rsidR="00860389">
        <w:rPr>
          <w:rFonts w:hint="cs"/>
          <w:rtl/>
        </w:rPr>
        <w:t>,</w:t>
      </w:r>
      <w:r>
        <w:rPr>
          <w:rtl/>
        </w:rPr>
        <w:t xml:space="preserve"> שכן הצרכן יוכל לדעת מה בדיוק מחיר הסל בחנות הספציפית ולא יתאפשר להטעותו. יתרה מכך, </w:t>
      </w:r>
      <w:r w:rsidR="005E004A">
        <w:rPr>
          <w:rFonts w:hint="cs"/>
          <w:rtl/>
        </w:rPr>
        <w:t>הממונה על הגבלים עסקיים</w:t>
      </w:r>
      <w:r>
        <w:rPr>
          <w:rtl/>
        </w:rPr>
        <w:t xml:space="preserve"> סבר שפרסום המחירים יפחית מהסיכוי שחנות תרצה למשוך צרכנים בצורה מלאכותית. מנגד, </w:t>
      </w:r>
      <w:r w:rsidR="005E004A">
        <w:rPr>
          <w:rFonts w:hint="cs"/>
          <w:rtl/>
        </w:rPr>
        <w:t>נ</w:t>
      </w:r>
      <w:r>
        <w:rPr>
          <w:rtl/>
        </w:rPr>
        <w:t xml:space="preserve">טען </w:t>
      </w:r>
      <w:r w:rsidR="005E004A">
        <w:rPr>
          <w:rFonts w:hint="cs"/>
          <w:rtl/>
        </w:rPr>
        <w:t>ש</w:t>
      </w:r>
      <w:r>
        <w:rPr>
          <w:rtl/>
        </w:rPr>
        <w:t xml:space="preserve">לא </w:t>
      </w:r>
      <w:r w:rsidR="005E004A">
        <w:rPr>
          <w:rFonts w:hint="cs"/>
          <w:rtl/>
        </w:rPr>
        <w:t xml:space="preserve">ראוי </w:t>
      </w:r>
      <w:r>
        <w:rPr>
          <w:rtl/>
        </w:rPr>
        <w:t xml:space="preserve">לתת </w:t>
      </w:r>
      <w:r w:rsidR="005E004A">
        <w:rPr>
          <w:rFonts w:hint="cs"/>
          <w:rtl/>
        </w:rPr>
        <w:t xml:space="preserve">לקמעונאים </w:t>
      </w:r>
      <w:r>
        <w:rPr>
          <w:rtl/>
        </w:rPr>
        <w:t>למכור משהו במחיר נמוך מעלות</w:t>
      </w:r>
      <w:r w:rsidR="005E004A">
        <w:rPr>
          <w:rFonts w:hint="cs"/>
          <w:rtl/>
        </w:rPr>
        <w:t>ו</w:t>
      </w:r>
      <w:r>
        <w:rPr>
          <w:rtl/>
        </w:rPr>
        <w:t xml:space="preserve"> כי אין ארוחות חינם. ברגע שרשת שיווק מוכרת</w:t>
      </w:r>
      <w:r w:rsidR="005E004A">
        <w:rPr>
          <w:rFonts w:hint="cs"/>
          <w:rtl/>
        </w:rPr>
        <w:t xml:space="preserve"> לצרכנים</w:t>
      </w:r>
      <w:r>
        <w:rPr>
          <w:rtl/>
        </w:rPr>
        <w:t xml:space="preserve"> משהו בפחות מעלות</w:t>
      </w:r>
      <w:r w:rsidR="005E004A">
        <w:rPr>
          <w:rFonts w:hint="cs"/>
          <w:rtl/>
        </w:rPr>
        <w:t>ו</w:t>
      </w:r>
      <w:r>
        <w:rPr>
          <w:rtl/>
        </w:rPr>
        <w:t xml:space="preserve">, יש לה אינטרס לערער את </w:t>
      </w:r>
      <w:r w:rsidR="005E004A">
        <w:rPr>
          <w:rFonts w:hint="cs"/>
          <w:rtl/>
        </w:rPr>
        <w:t>התחרות.</w:t>
      </w:r>
    </w:p>
    <w:p w14:paraId="6416D43D" w14:textId="225E948B" w:rsidR="005F402C" w:rsidRDefault="005F402C" w:rsidP="005E004A">
      <w:pPr>
        <w:pStyle w:val="Hesber"/>
        <w:rPr>
          <w:rtl/>
        </w:rPr>
      </w:pPr>
      <w:r>
        <w:rPr>
          <w:rtl/>
        </w:rPr>
        <w:t>דומה כי היום, שלוש שנים לאחר חקיקת חוק</w:t>
      </w:r>
      <w:r w:rsidR="00A531BB">
        <w:rPr>
          <w:rFonts w:hint="cs"/>
          <w:rtl/>
        </w:rPr>
        <w:t xml:space="preserve"> </w:t>
      </w:r>
      <w:r w:rsidR="005E004A">
        <w:rPr>
          <w:rFonts w:hint="cs"/>
          <w:rtl/>
        </w:rPr>
        <w:t>המזון</w:t>
      </w:r>
      <w:r>
        <w:rPr>
          <w:rtl/>
        </w:rPr>
        <w:t>, ניתן להיווכח כי ההנחה ש</w:t>
      </w:r>
      <w:r w:rsidR="00860389">
        <w:rPr>
          <w:rFonts w:hint="cs"/>
          <w:rtl/>
        </w:rPr>
        <w:t>ה</w:t>
      </w:r>
      <w:r>
        <w:rPr>
          <w:rtl/>
        </w:rPr>
        <w:t xml:space="preserve">חוק </w:t>
      </w:r>
      <w:r w:rsidR="00860389">
        <w:rPr>
          <w:rFonts w:hint="cs"/>
          <w:rtl/>
        </w:rPr>
        <w:t>האמור ייתן מענה לחשש זה</w:t>
      </w:r>
      <w:r>
        <w:rPr>
          <w:rtl/>
        </w:rPr>
        <w:t xml:space="preserve"> לא התקיימה, וכי התופעה של מכירת מוצרים במחירי הפסד, כשיטה למשיכת לקוחות, עודה קיימת</w:t>
      </w:r>
      <w:r w:rsidR="00860389">
        <w:rPr>
          <w:rFonts w:hint="cs"/>
          <w:rtl/>
        </w:rPr>
        <w:t>,</w:t>
      </w:r>
      <w:r>
        <w:rPr>
          <w:rtl/>
        </w:rPr>
        <w:t xml:space="preserve"> למרות מנגנוני פרסום המחירים שנקבעו בחוק. כפועל יוצא מכך, לקוח שאינו רוכש במסגרת רכישותיו מוצרי לוס-לידר מסבסד בפועל את הצרכנים </w:t>
      </w:r>
      <w:r w:rsidR="005E004A">
        <w:rPr>
          <w:rFonts w:hint="cs"/>
          <w:rtl/>
        </w:rPr>
        <w:t>ש</w:t>
      </w:r>
      <w:r>
        <w:rPr>
          <w:rtl/>
        </w:rPr>
        <w:t xml:space="preserve">רכשו מוצרים כאלו. </w:t>
      </w:r>
      <w:r w:rsidR="005E004A">
        <w:rPr>
          <w:rFonts w:hint="cs"/>
          <w:rtl/>
        </w:rPr>
        <w:t>כמו כן</w:t>
      </w:r>
      <w:r>
        <w:rPr>
          <w:rtl/>
        </w:rPr>
        <w:t xml:space="preserve">, גם אם על פני הדברים השוואת סלי קניות נעשתה קלה יותר בקניות באינטרנט, אין בכך כדי לתרום לצרכן </w:t>
      </w:r>
      <w:r w:rsidR="00860389">
        <w:rPr>
          <w:rFonts w:hint="cs"/>
          <w:rtl/>
        </w:rPr>
        <w:t>ש</w:t>
      </w:r>
      <w:r>
        <w:rPr>
          <w:rtl/>
        </w:rPr>
        <w:t xml:space="preserve">נמצא בפועל בחנות ומבצע רכישותיו.  </w:t>
      </w:r>
    </w:p>
    <w:p w14:paraId="5AD90838" w14:textId="72B38F52" w:rsidR="005F402C" w:rsidRDefault="005E004A" w:rsidP="00B57A47">
      <w:pPr>
        <w:pStyle w:val="Hesber"/>
        <w:rPr>
          <w:rtl/>
        </w:rPr>
      </w:pPr>
      <w:r>
        <w:rPr>
          <w:rFonts w:hint="cs"/>
          <w:rtl/>
        </w:rPr>
        <w:t>נוכח</w:t>
      </w:r>
      <w:r w:rsidR="005F402C">
        <w:rPr>
          <w:rtl/>
        </w:rPr>
        <w:t xml:space="preserve"> האמור</w:t>
      </w:r>
      <w:r w:rsidR="005A1CF4">
        <w:rPr>
          <w:rFonts w:hint="cs"/>
          <w:rtl/>
        </w:rPr>
        <w:t>,</w:t>
      </w:r>
      <w:r w:rsidR="005F402C">
        <w:rPr>
          <w:rtl/>
        </w:rPr>
        <w:t xml:space="preserve"> מוצע לקבוע איסור על מכירת מוצרים </w:t>
      </w:r>
      <w:r w:rsidR="00DB666B">
        <w:rPr>
          <w:rFonts w:hint="cs"/>
          <w:rtl/>
        </w:rPr>
        <w:t xml:space="preserve">הנמכרים במקומות לממכר מזון ומוצרי צריכה </w:t>
      </w:r>
      <w:r w:rsidR="005F402C">
        <w:rPr>
          <w:rtl/>
        </w:rPr>
        <w:t>במחירי הפסד</w:t>
      </w:r>
      <w:r w:rsidR="005A1CF4">
        <w:rPr>
          <w:rFonts w:hint="cs"/>
          <w:rtl/>
        </w:rPr>
        <w:t>.</w:t>
      </w:r>
    </w:p>
    <w:p w14:paraId="40DEEF7E" w14:textId="77777777" w:rsidR="00D35DDA" w:rsidRDefault="00D35DDA" w:rsidP="00D35DDA">
      <w:pPr>
        <w:pStyle w:val="Hesber"/>
        <w:rPr>
          <w:rtl/>
        </w:rPr>
      </w:pPr>
      <w:r>
        <w:rPr>
          <w:rtl/>
        </w:rPr>
        <w:t>---------------------------------</w:t>
      </w:r>
    </w:p>
    <w:p w14:paraId="439695A8" w14:textId="77777777" w:rsidR="00D35DDA" w:rsidRDefault="00D35DDA" w:rsidP="00D35DDA">
      <w:pPr>
        <w:pStyle w:val="Hesber"/>
        <w:rPr>
          <w:rtl/>
        </w:rPr>
      </w:pPr>
      <w:r>
        <w:rPr>
          <w:rtl/>
        </w:rPr>
        <w:t>הוגשה ליו"ר הכנסת והסגנים</w:t>
      </w:r>
    </w:p>
    <w:p w14:paraId="02F8228E" w14:textId="77777777" w:rsidR="00D35DDA" w:rsidRDefault="00D35DDA" w:rsidP="00D35DDA">
      <w:pPr>
        <w:pStyle w:val="Hesber"/>
        <w:rPr>
          <w:rtl/>
        </w:rPr>
      </w:pPr>
      <w:r>
        <w:rPr>
          <w:rtl/>
        </w:rPr>
        <w:t>והונחה על שולחן הכנסת ביום</w:t>
      </w:r>
    </w:p>
    <w:p w14:paraId="7F6961CB" w14:textId="045250DF" w:rsidR="00E13C27" w:rsidRDefault="00D35DDA" w:rsidP="00D35DDA">
      <w:pPr>
        <w:pStyle w:val="Hesber"/>
        <w:rPr>
          <w:rtl/>
        </w:rPr>
      </w:pPr>
      <w:r>
        <w:rPr>
          <w:rtl/>
        </w:rPr>
        <w:t xml:space="preserve">ד' באדר </w:t>
      </w:r>
      <w:proofErr w:type="spellStart"/>
      <w:r>
        <w:rPr>
          <w:rtl/>
        </w:rPr>
        <w:t>התשע"ח</w:t>
      </w:r>
      <w:proofErr w:type="spellEnd"/>
      <w:r>
        <w:rPr>
          <w:rtl/>
        </w:rPr>
        <w:t xml:space="preserve"> - 19.2.18</w:t>
      </w: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90B8" w14:textId="77777777" w:rsidR="005A6873" w:rsidRDefault="005A6873">
      <w:r>
        <w:separator/>
      </w:r>
    </w:p>
  </w:endnote>
  <w:endnote w:type="continuationSeparator" w:id="0">
    <w:p w14:paraId="0562EB8A" w14:textId="77777777" w:rsidR="005A6873" w:rsidRDefault="005A6873">
      <w:r>
        <w:continuationSeparator/>
      </w:r>
    </w:p>
  </w:endnote>
  <w:endnote w:type="continuationNotice" w:id="1">
    <w:p w14:paraId="7FFC878D" w14:textId="77777777" w:rsidR="005A6873" w:rsidRDefault="005A68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4409AD">
      <w:rPr>
        <w:rStyle w:val="aa"/>
        <w:noProof/>
        <w:rtl/>
      </w:rPr>
      <w:t>3</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D957" w14:textId="77777777" w:rsidR="005A6873" w:rsidRDefault="005A6873">
      <w:r>
        <w:separator/>
      </w:r>
    </w:p>
  </w:footnote>
  <w:footnote w:type="continuationSeparator" w:id="0">
    <w:p w14:paraId="432C1B64" w14:textId="77777777" w:rsidR="005A6873" w:rsidRDefault="005A6873">
      <w:r>
        <w:continuationSeparator/>
      </w:r>
    </w:p>
  </w:footnote>
  <w:footnote w:type="continuationNotice" w:id="1">
    <w:p w14:paraId="0A785DCB" w14:textId="77777777" w:rsidR="005A6873" w:rsidRDefault="005A6873"/>
  </w:footnote>
  <w:footnote w:id="2">
    <w:p w14:paraId="1D92C650" w14:textId="7D705402" w:rsidR="005A1CF4" w:rsidRDefault="005A1CF4" w:rsidP="005A1CF4">
      <w:pPr>
        <w:pStyle w:val="a4"/>
      </w:pPr>
      <w:r>
        <w:rPr>
          <w:rStyle w:val="a5"/>
        </w:rPr>
        <w:footnoteRef/>
      </w:r>
      <w:r>
        <w:rPr>
          <w:rtl/>
        </w:rPr>
        <w:t xml:space="preserve"> </w:t>
      </w:r>
      <w:r>
        <w:rPr>
          <w:rFonts w:hint="cs"/>
          <w:rtl/>
        </w:rPr>
        <w:t xml:space="preserve">ס"ח </w:t>
      </w:r>
      <w:proofErr w:type="spellStart"/>
      <w:r>
        <w:rPr>
          <w:rFonts w:hint="cs"/>
          <w:rtl/>
        </w:rPr>
        <w:t>התשע"ד</w:t>
      </w:r>
      <w:proofErr w:type="spellEnd"/>
      <w:r>
        <w:rPr>
          <w:rFonts w:hint="cs"/>
          <w:rtl/>
        </w:rPr>
        <w:t>, עמ' 438</w:t>
      </w:r>
      <w:r w:rsidR="004409AD">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0E6C"/>
    <w:rsid w:val="00102B6B"/>
    <w:rsid w:val="001052D4"/>
    <w:rsid w:val="0010644B"/>
    <w:rsid w:val="00111717"/>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D2F3C"/>
    <w:rsid w:val="002F1D80"/>
    <w:rsid w:val="00322CDC"/>
    <w:rsid w:val="003232A2"/>
    <w:rsid w:val="00325C14"/>
    <w:rsid w:val="0036422C"/>
    <w:rsid w:val="003710F6"/>
    <w:rsid w:val="00386E88"/>
    <w:rsid w:val="00396585"/>
    <w:rsid w:val="003D6E38"/>
    <w:rsid w:val="003D74A0"/>
    <w:rsid w:val="004033D8"/>
    <w:rsid w:val="004073F0"/>
    <w:rsid w:val="00412A7D"/>
    <w:rsid w:val="00416B4D"/>
    <w:rsid w:val="00417CFC"/>
    <w:rsid w:val="004409AD"/>
    <w:rsid w:val="004A06DC"/>
    <w:rsid w:val="004B24ED"/>
    <w:rsid w:val="004B6625"/>
    <w:rsid w:val="004C2306"/>
    <w:rsid w:val="004D20D1"/>
    <w:rsid w:val="004D2D82"/>
    <w:rsid w:val="004D3876"/>
    <w:rsid w:val="004E4552"/>
    <w:rsid w:val="004E6CDF"/>
    <w:rsid w:val="004E73E2"/>
    <w:rsid w:val="00553C9D"/>
    <w:rsid w:val="00562A66"/>
    <w:rsid w:val="005A1CF4"/>
    <w:rsid w:val="005A6873"/>
    <w:rsid w:val="005B064E"/>
    <w:rsid w:val="005D2346"/>
    <w:rsid w:val="005D51AE"/>
    <w:rsid w:val="005E004A"/>
    <w:rsid w:val="005F402C"/>
    <w:rsid w:val="0062674B"/>
    <w:rsid w:val="006363B2"/>
    <w:rsid w:val="00644940"/>
    <w:rsid w:val="006818A9"/>
    <w:rsid w:val="006A2D81"/>
    <w:rsid w:val="006C1D0D"/>
    <w:rsid w:val="006E7D3A"/>
    <w:rsid w:val="0070601E"/>
    <w:rsid w:val="00712C72"/>
    <w:rsid w:val="00735FE9"/>
    <w:rsid w:val="00763CAA"/>
    <w:rsid w:val="00765F66"/>
    <w:rsid w:val="0078664F"/>
    <w:rsid w:val="007A26CF"/>
    <w:rsid w:val="007B4218"/>
    <w:rsid w:val="007C3FA6"/>
    <w:rsid w:val="007D585A"/>
    <w:rsid w:val="007D5A12"/>
    <w:rsid w:val="007E59F9"/>
    <w:rsid w:val="00807716"/>
    <w:rsid w:val="00810BCD"/>
    <w:rsid w:val="00812C98"/>
    <w:rsid w:val="00814B5F"/>
    <w:rsid w:val="00814D92"/>
    <w:rsid w:val="0083181D"/>
    <w:rsid w:val="00843EB2"/>
    <w:rsid w:val="00860389"/>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4A92"/>
    <w:rsid w:val="00982412"/>
    <w:rsid w:val="00983A8D"/>
    <w:rsid w:val="00987673"/>
    <w:rsid w:val="009A0DB8"/>
    <w:rsid w:val="009A7257"/>
    <w:rsid w:val="009B1016"/>
    <w:rsid w:val="009D6E0A"/>
    <w:rsid w:val="009E1E33"/>
    <w:rsid w:val="00A14672"/>
    <w:rsid w:val="00A26BD6"/>
    <w:rsid w:val="00A443CF"/>
    <w:rsid w:val="00A531BB"/>
    <w:rsid w:val="00A6611D"/>
    <w:rsid w:val="00A82CB7"/>
    <w:rsid w:val="00A942C1"/>
    <w:rsid w:val="00AA2F03"/>
    <w:rsid w:val="00AC36F7"/>
    <w:rsid w:val="00AC63A4"/>
    <w:rsid w:val="00AD239E"/>
    <w:rsid w:val="00B10265"/>
    <w:rsid w:val="00B16A99"/>
    <w:rsid w:val="00B21211"/>
    <w:rsid w:val="00B35784"/>
    <w:rsid w:val="00B57A47"/>
    <w:rsid w:val="00B733A7"/>
    <w:rsid w:val="00B75C91"/>
    <w:rsid w:val="00B975AD"/>
    <w:rsid w:val="00BC45FB"/>
    <w:rsid w:val="00BF148D"/>
    <w:rsid w:val="00C23B1A"/>
    <w:rsid w:val="00C310EB"/>
    <w:rsid w:val="00C9176A"/>
    <w:rsid w:val="00CB028E"/>
    <w:rsid w:val="00CF1AA2"/>
    <w:rsid w:val="00D17774"/>
    <w:rsid w:val="00D35DDA"/>
    <w:rsid w:val="00D63620"/>
    <w:rsid w:val="00D8410D"/>
    <w:rsid w:val="00D867D7"/>
    <w:rsid w:val="00DB666B"/>
    <w:rsid w:val="00DB7060"/>
    <w:rsid w:val="00DE3153"/>
    <w:rsid w:val="00E06736"/>
    <w:rsid w:val="00E13C27"/>
    <w:rsid w:val="00E33BBD"/>
    <w:rsid w:val="00E374F2"/>
    <w:rsid w:val="00E45103"/>
    <w:rsid w:val="00E55A60"/>
    <w:rsid w:val="00E62778"/>
    <w:rsid w:val="00E63D38"/>
    <w:rsid w:val="00E665B9"/>
    <w:rsid w:val="00E96673"/>
    <w:rsid w:val="00EA01E6"/>
    <w:rsid w:val="00EA3DE8"/>
    <w:rsid w:val="00EA758F"/>
    <w:rsid w:val="00ED4A6F"/>
    <w:rsid w:val="00EF3A3A"/>
    <w:rsid w:val="00F628D6"/>
    <w:rsid w:val="00F67051"/>
    <w:rsid w:val="00F86A1E"/>
    <w:rsid w:val="00FA5E88"/>
    <w:rsid w:val="00FF2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default">
    <w:name w:val="default"/>
    <w:rsid w:val="00E966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AB67-0E22-4E0E-ADF5-483BFFEC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4F078A93-FDB3-48C9-8C55-CDE64DE2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3971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Maya</cp:lastModifiedBy>
  <cp:revision>2</cp:revision>
  <cp:lastPrinted>2018-02-15T08:23:00Z</cp:lastPrinted>
  <dcterms:created xsi:type="dcterms:W3CDTF">2018-12-20T07:36:00Z</dcterms:created>
  <dcterms:modified xsi:type="dcterms:W3CDTF">2018-12-20T07:36:00Z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2063289</vt:r8>
  </property>
</Properties>
</file>