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2081448</w:t>
      </w:r>
      <w:bookmarkEnd w:id="0"/>
    </w:p>
    <w:p w14:paraId="7F6961A2" w14:textId="3DE75287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bookmarkStart w:id="1" w:name="LGS_Knesset_Num"/>
      <w:r>
        <w:rPr>
          <w:rFonts w:hint="cs"/>
          <w:sz w:val="28"/>
          <w:szCs w:val="28"/>
          <w:rtl/>
        </w:rPr>
        <w:t>הכנסת העשרים ושתיים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מיקי חיימוביץ'</w:t>
      </w:r>
      <w:bookmarkEnd w:id="3"/>
    </w:p>
    <w:p w14:paraId="7F6961AA" w14:textId="39F9D96B" w:rsidR="00E13C27" w:rsidRPr="00CF1AA2" w:rsidRDefault="007D585A" w:rsidP="0036422C">
      <w:pPr>
        <w:pStyle w:val="David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461E78DD" w:rsidR="00E13C27" w:rsidRPr="00E06736" w:rsidRDefault="00904591" w:rsidP="000F4FB2">
      <w:pPr>
        <w:pStyle w:val="David"/>
        <w:spacing w:line="240" w:lineRule="auto"/>
        <w:ind w:left="6424" w:firstLine="56"/>
        <w:rPr>
          <w:rtl/>
        </w:rPr>
      </w:pPr>
      <w:bookmarkStart w:id="6" w:name="Private_Number"/>
      <w:r>
        <w:rPr>
          <w:rFonts w:hint="cs"/>
          <w:rtl/>
        </w:rPr>
        <w:t>פ/79/22</w:t>
      </w:r>
      <w:bookmarkEnd w:id="6"/>
    </w:p>
    <w:p w14:paraId="7F6961AD" w14:textId="6C7FF65C" w:rsidR="00E13C27" w:rsidRPr="00F67051" w:rsidRDefault="00A443CF" w:rsidP="001F6627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הפיקדון על מכלי משקה (תיקון – החלת החוק על מכלי משקה גדולים),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–2019</w:t>
      </w:r>
      <w:bookmarkEnd w:id="7"/>
    </w:p>
    <w:tbl>
      <w:tblPr>
        <w:bidiVisual/>
        <w:tblW w:w="963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24"/>
        <w:gridCol w:w="624"/>
        <w:gridCol w:w="624"/>
        <w:gridCol w:w="5895"/>
      </w:tblGrid>
      <w:tr w:rsidR="000C307C" w14:paraId="47E5C0C9" w14:textId="77777777" w:rsidTr="00E973CF">
        <w:trPr>
          <w:cantSplit/>
        </w:trPr>
        <w:tc>
          <w:tcPr>
            <w:tcW w:w="1869" w:type="dxa"/>
          </w:tcPr>
          <w:p w14:paraId="07F395AE" w14:textId="77777777" w:rsidR="000C307C" w:rsidRPr="00A43922" w:rsidRDefault="000C307C" w:rsidP="00E814A8">
            <w:pPr>
              <w:pStyle w:val="TableSideHeading"/>
            </w:pPr>
            <w:r w:rsidRPr="00A43922">
              <w:rPr>
                <w:rtl/>
              </w:rPr>
              <w:t>תיקון סעיף 1</w:t>
            </w:r>
          </w:p>
        </w:tc>
        <w:tc>
          <w:tcPr>
            <w:tcW w:w="624" w:type="dxa"/>
          </w:tcPr>
          <w:p w14:paraId="26C1F387" w14:textId="77777777" w:rsidR="000C307C" w:rsidRPr="00D647AF" w:rsidRDefault="000C307C" w:rsidP="00E814A8">
            <w:pPr>
              <w:pStyle w:val="TableText"/>
              <w:keepLines w:val="0"/>
              <w:rPr>
                <w:rFonts w:ascii="David" w:eastAsia="MS Mincho" w:hAnsi="David"/>
                <w:snapToGrid/>
                <w:spacing w:val="1"/>
                <w:sz w:val="26"/>
              </w:rPr>
            </w:pPr>
            <w:r>
              <w:rPr>
                <w:rFonts w:ascii="David" w:eastAsia="MS Mincho" w:hAnsi="David" w:hint="cs"/>
                <w:snapToGrid/>
                <w:spacing w:val="1"/>
                <w:sz w:val="26"/>
                <w:rtl/>
              </w:rPr>
              <w:t>1.</w:t>
            </w:r>
          </w:p>
        </w:tc>
        <w:tc>
          <w:tcPr>
            <w:tcW w:w="7143" w:type="dxa"/>
            <w:gridSpan w:val="3"/>
          </w:tcPr>
          <w:p w14:paraId="79A8482C" w14:textId="77777777" w:rsidR="000C307C" w:rsidRPr="00A43922" w:rsidRDefault="000C307C" w:rsidP="00E973CF">
            <w:pPr>
              <w:pStyle w:val="TableBlock"/>
            </w:pPr>
            <w:r w:rsidRPr="00A43922">
              <w:rPr>
                <w:rtl/>
              </w:rPr>
              <w:t xml:space="preserve">בחוק הפיקדון על מכלי משקה, </w:t>
            </w:r>
            <w:proofErr w:type="spellStart"/>
            <w:r w:rsidRPr="00A43922">
              <w:rPr>
                <w:rtl/>
              </w:rPr>
              <w:t>התשנ"ט</w:t>
            </w:r>
            <w:proofErr w:type="spellEnd"/>
            <w:r w:rsidRPr="00A43922">
              <w:rPr>
                <w:rtl/>
              </w:rPr>
              <w:t>–1999</w:t>
            </w:r>
            <w:r w:rsidRPr="00E973CF">
              <w:rPr>
                <w:rStyle w:val="a5"/>
                <w:rFonts w:ascii="David" w:hAnsi="David"/>
                <w:sz w:val="26"/>
                <w:rtl/>
              </w:rPr>
              <w:footnoteReference w:id="2"/>
            </w:r>
            <w:r w:rsidRPr="00A43922">
              <w:rPr>
                <w:rtl/>
              </w:rPr>
              <w:t xml:space="preserve"> (להלן – החוק העיקרי), בסעיף 1 – </w:t>
            </w:r>
          </w:p>
        </w:tc>
      </w:tr>
      <w:tr w:rsidR="000C307C" w14:paraId="198C910B" w14:textId="77777777" w:rsidTr="00E973CF">
        <w:trPr>
          <w:cantSplit/>
        </w:trPr>
        <w:tc>
          <w:tcPr>
            <w:tcW w:w="1869" w:type="dxa"/>
          </w:tcPr>
          <w:p w14:paraId="5421C226" w14:textId="77777777" w:rsidR="000C307C" w:rsidRDefault="000C307C" w:rsidP="00E814A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E22118F" w14:textId="77777777" w:rsidR="000C307C" w:rsidRDefault="000C307C" w:rsidP="00E814A8">
            <w:pPr>
              <w:pStyle w:val="TableText"/>
              <w:keepLines w:val="0"/>
            </w:pPr>
          </w:p>
        </w:tc>
        <w:tc>
          <w:tcPr>
            <w:tcW w:w="7143" w:type="dxa"/>
            <w:gridSpan w:val="3"/>
          </w:tcPr>
          <w:p w14:paraId="6C08680C" w14:textId="77777777" w:rsidR="000C307C" w:rsidRPr="00A43922" w:rsidRDefault="000C307C" w:rsidP="00E973CF">
            <w:pPr>
              <w:pStyle w:val="TableBlock"/>
            </w:pPr>
            <w:r w:rsidRPr="00A43922">
              <w:rPr>
                <w:rtl/>
              </w:rPr>
              <w:t>(1)</w:t>
            </w:r>
            <w:r w:rsidRPr="00A43922">
              <w:rPr>
                <w:rtl/>
              </w:rPr>
              <w:tab/>
              <w:t>בהגדרה "בית עסק", המילים "או מכלי משקה גדולים" – יימחקו;</w:t>
            </w:r>
          </w:p>
        </w:tc>
      </w:tr>
      <w:tr w:rsidR="000C307C" w14:paraId="2E57FDEB" w14:textId="77777777" w:rsidTr="00E973CF">
        <w:trPr>
          <w:cantSplit/>
        </w:trPr>
        <w:tc>
          <w:tcPr>
            <w:tcW w:w="1869" w:type="dxa"/>
          </w:tcPr>
          <w:p w14:paraId="40A51010" w14:textId="77777777" w:rsidR="000C307C" w:rsidRDefault="000C307C" w:rsidP="00E814A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17661114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41A9E8E2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(2)</w:t>
            </w:r>
            <w:r w:rsidRPr="00A43922">
              <w:rPr>
                <w:rtl/>
              </w:rPr>
              <w:tab/>
              <w:t xml:space="preserve">בהגדרה "יבואן", המילים "או מכלי משקה גדולים מלאים" </w:t>
            </w:r>
            <w:r w:rsidRPr="00A43922">
              <w:rPr>
                <w:rFonts w:hint="eastAsia"/>
                <w:rtl/>
              </w:rPr>
              <w:t>–</w:t>
            </w:r>
            <w:r w:rsidRPr="00A43922">
              <w:rPr>
                <w:rtl/>
              </w:rPr>
              <w:t xml:space="preserve"> יימחקו;</w:t>
            </w:r>
          </w:p>
        </w:tc>
      </w:tr>
      <w:tr w:rsidR="000C307C" w14:paraId="39CF8DF4" w14:textId="77777777" w:rsidTr="00E973CF">
        <w:trPr>
          <w:cantSplit/>
        </w:trPr>
        <w:tc>
          <w:tcPr>
            <w:tcW w:w="1869" w:type="dxa"/>
          </w:tcPr>
          <w:p w14:paraId="00B4F5B8" w14:textId="77777777" w:rsidR="000C307C" w:rsidRDefault="000C307C" w:rsidP="00E814A8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943430D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64700DD5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(3)</w:t>
            </w:r>
            <w:r w:rsidRPr="00A43922">
              <w:rPr>
                <w:rtl/>
              </w:rPr>
              <w:tab/>
              <w:t>בהגדרה "יצרן", המילים "או מכלי משקה גדולים מלאים במשקה"</w:t>
            </w:r>
            <w:r>
              <w:rPr>
                <w:rFonts w:hint="cs"/>
                <w:rtl/>
              </w:rPr>
              <w:t xml:space="preserve"> ו</w:t>
            </w:r>
            <w:r w:rsidRPr="00A43922">
              <w:rPr>
                <w:rtl/>
              </w:rPr>
              <w:t xml:space="preserve">"או מכלי משקה גדולים ריקים" </w:t>
            </w:r>
            <w:r w:rsidRPr="00A43922">
              <w:rPr>
                <w:rFonts w:hint="eastAsia"/>
                <w:rtl/>
              </w:rPr>
              <w:t>–</w:t>
            </w:r>
            <w:r>
              <w:rPr>
                <w:rtl/>
              </w:rPr>
              <w:t xml:space="preserve"> יימחקו</w:t>
            </w:r>
            <w:r>
              <w:rPr>
                <w:rFonts w:hint="cs"/>
                <w:rtl/>
              </w:rPr>
              <w:t>;</w:t>
            </w:r>
          </w:p>
        </w:tc>
      </w:tr>
      <w:tr w:rsidR="000C307C" w14:paraId="61738DE7" w14:textId="77777777" w:rsidTr="00E973CF">
        <w:trPr>
          <w:cantSplit/>
        </w:trPr>
        <w:tc>
          <w:tcPr>
            <w:tcW w:w="1869" w:type="dxa"/>
          </w:tcPr>
          <w:p w14:paraId="6A85A0DB" w14:textId="77777777" w:rsidR="000C307C" w:rsidRDefault="000C307C" w:rsidP="00E814A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378DBE2" w14:textId="77777777" w:rsidR="000C307C" w:rsidRDefault="000C307C" w:rsidP="00E814A8">
            <w:pPr>
              <w:pStyle w:val="TableText"/>
              <w:keepLines w:val="0"/>
            </w:pPr>
          </w:p>
        </w:tc>
        <w:tc>
          <w:tcPr>
            <w:tcW w:w="7143" w:type="dxa"/>
            <w:gridSpan w:val="3"/>
          </w:tcPr>
          <w:p w14:paraId="6E983D46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(4)</w:t>
            </w:r>
            <w:r w:rsidRPr="00A43922">
              <w:rPr>
                <w:rtl/>
              </w:rPr>
              <w:tab/>
              <w:t xml:space="preserve">במקום ההגדרה "מכל משקה" יבוא: </w:t>
            </w:r>
          </w:p>
        </w:tc>
      </w:tr>
      <w:tr w:rsidR="000C307C" w14:paraId="1AB6C93A" w14:textId="77777777" w:rsidTr="00E973CF">
        <w:trPr>
          <w:cantSplit/>
        </w:trPr>
        <w:tc>
          <w:tcPr>
            <w:tcW w:w="1869" w:type="dxa"/>
          </w:tcPr>
          <w:p w14:paraId="2917D147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11C45C06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350B13BE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5013765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 xml:space="preserve">""מכל משקה"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מכל משקה קטן או מכל משקה גדול.";</w:t>
            </w:r>
          </w:p>
        </w:tc>
      </w:tr>
      <w:tr w:rsidR="000C307C" w14:paraId="02071291" w14:textId="77777777" w:rsidTr="00E973CF">
        <w:trPr>
          <w:cantSplit/>
        </w:trPr>
        <w:tc>
          <w:tcPr>
            <w:tcW w:w="1869" w:type="dxa"/>
          </w:tcPr>
          <w:p w14:paraId="71527E00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04B8AE3B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3C00B406" w14:textId="77777777" w:rsidR="000C307C" w:rsidRPr="00C34DE2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(5)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ההגדרה "מכל משקה גדול" יבוא:</w:t>
            </w:r>
          </w:p>
        </w:tc>
      </w:tr>
      <w:tr w:rsidR="000C307C" w14:paraId="163010DF" w14:textId="77777777" w:rsidTr="00E973CF">
        <w:trPr>
          <w:cantSplit/>
        </w:trPr>
        <w:tc>
          <w:tcPr>
            <w:tcW w:w="1869" w:type="dxa"/>
          </w:tcPr>
          <w:p w14:paraId="645FE39F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4DAC2547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601EEF74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1DD52D1A" w14:textId="77777777" w:rsidR="000C307C" w:rsidRPr="004B07AD" w:rsidRDefault="000C307C" w:rsidP="00E973CF">
            <w:pPr>
              <w:pStyle w:val="TableBlockOutdent"/>
            </w:pPr>
            <w:r w:rsidRPr="004B07AD">
              <w:rPr>
                <w:rtl/>
              </w:rPr>
              <w:t xml:space="preserve">""מכל משקה קטן" </w:t>
            </w:r>
            <w:r w:rsidRPr="004B07AD">
              <w:rPr>
                <w:rFonts w:hint="eastAsia"/>
                <w:rtl/>
              </w:rPr>
              <w:t>–</w:t>
            </w:r>
            <w:r w:rsidRPr="004B07AD">
              <w:rPr>
                <w:rtl/>
              </w:rPr>
              <w:t xml:space="preserve"> </w:t>
            </w:r>
            <w:r w:rsidRPr="004B07AD">
              <w:rPr>
                <w:rFonts w:hint="eastAsia"/>
                <w:rtl/>
              </w:rPr>
              <w:t>כלי</w:t>
            </w:r>
            <w:r w:rsidRPr="004B07AD">
              <w:rPr>
                <w:rtl/>
              </w:rPr>
              <w:t xml:space="preserve"> קיבול שמשווקים בו משקה, למעט חלב ומוצריו, בין שהוא מלא ובין שהוא ריק, העשוי מכל חומר, וקיבולתו היא 0.1 ליטר או יותר ופחות מ-1.5 ליטר, למעט </w:t>
            </w:r>
            <w:r w:rsidRPr="004B07AD">
              <w:rPr>
                <w:rFonts w:hint="eastAsia"/>
                <w:rtl/>
              </w:rPr>
              <w:t>–</w:t>
            </w:r>
          </w:p>
        </w:tc>
      </w:tr>
      <w:tr w:rsidR="000C307C" w14:paraId="1B277F14" w14:textId="77777777" w:rsidTr="00E973CF">
        <w:trPr>
          <w:cantSplit/>
        </w:trPr>
        <w:tc>
          <w:tcPr>
            <w:tcW w:w="1869" w:type="dxa"/>
          </w:tcPr>
          <w:p w14:paraId="4D03E6FF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29C19004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01BEB8F5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0CCA37C5" w14:textId="77777777" w:rsidR="000C307C" w:rsidRDefault="000C307C" w:rsidP="00E814A8">
            <w:pPr>
              <w:pStyle w:val="TableText"/>
            </w:pPr>
          </w:p>
        </w:tc>
        <w:tc>
          <w:tcPr>
            <w:tcW w:w="5895" w:type="dxa"/>
          </w:tcPr>
          <w:p w14:paraId="44CA2CDA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שקיות;</w:t>
            </w:r>
          </w:p>
        </w:tc>
      </w:tr>
      <w:tr w:rsidR="000C307C" w14:paraId="568E7D00" w14:textId="77777777" w:rsidTr="00E973CF">
        <w:trPr>
          <w:cantSplit/>
        </w:trPr>
        <w:tc>
          <w:tcPr>
            <w:tcW w:w="1869" w:type="dxa"/>
          </w:tcPr>
          <w:p w14:paraId="5542EF4A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3E2DF99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31A8B1C5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2FB8AD75" w14:textId="77777777" w:rsidR="000C307C" w:rsidRDefault="000C307C" w:rsidP="00E814A8">
            <w:pPr>
              <w:pStyle w:val="TableText"/>
            </w:pPr>
          </w:p>
        </w:tc>
        <w:tc>
          <w:tcPr>
            <w:tcW w:w="5895" w:type="dxa"/>
          </w:tcPr>
          <w:p w14:paraId="5AE321A4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מכלי משקה העשויים בעיקרם מנייר או קרטון;";</w:t>
            </w:r>
          </w:p>
        </w:tc>
      </w:tr>
      <w:tr w:rsidR="000C307C" w14:paraId="0E1AE091" w14:textId="77777777" w:rsidTr="00E973CF">
        <w:trPr>
          <w:cantSplit/>
        </w:trPr>
        <w:tc>
          <w:tcPr>
            <w:tcW w:w="1869" w:type="dxa"/>
          </w:tcPr>
          <w:p w14:paraId="335E3C79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4142AEC5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363799FA" w14:textId="77777777" w:rsidR="000C307C" w:rsidRPr="00C34DE2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(6)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בהגדרה "</w:t>
            </w:r>
            <w:proofErr w:type="spellStart"/>
            <w:r>
              <w:rPr>
                <w:rFonts w:hint="cs"/>
                <w:rtl/>
              </w:rPr>
              <w:t>מיחזור</w:t>
            </w:r>
            <w:proofErr w:type="spellEnd"/>
            <w:r>
              <w:rPr>
                <w:rFonts w:hint="cs"/>
                <w:rtl/>
              </w:rPr>
              <w:t xml:space="preserve">", המילים "או מכלי משקה גדולים" </w:t>
            </w:r>
            <w:r>
              <w:rPr>
                <w:rFonts w:hint="eastAsia"/>
                <w:rtl/>
              </w:rPr>
              <w:t>– יימחקו;</w:t>
            </w:r>
          </w:p>
        </w:tc>
      </w:tr>
      <w:tr w:rsidR="000C307C" w14:paraId="15979795" w14:textId="77777777" w:rsidTr="00E973CF">
        <w:trPr>
          <w:cantSplit/>
        </w:trPr>
        <w:tc>
          <w:tcPr>
            <w:tcW w:w="1869" w:type="dxa"/>
          </w:tcPr>
          <w:p w14:paraId="3825DEDD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1FE38301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7625721C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(7)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בהגדרה "צרכן", המילים "או מכלי משקה גדולים" </w:t>
            </w:r>
            <w:r>
              <w:rPr>
                <w:rFonts w:hint="eastAsia"/>
                <w:rtl/>
              </w:rPr>
              <w:t>– יימחקו</w:t>
            </w:r>
            <w:r>
              <w:rPr>
                <w:rFonts w:hint="cs"/>
                <w:rtl/>
              </w:rPr>
              <w:t>.</w:t>
            </w:r>
          </w:p>
        </w:tc>
      </w:tr>
      <w:tr w:rsidR="000C307C" w14:paraId="5821D166" w14:textId="77777777" w:rsidTr="00E973CF">
        <w:trPr>
          <w:cantSplit/>
        </w:trPr>
        <w:tc>
          <w:tcPr>
            <w:tcW w:w="1869" w:type="dxa"/>
          </w:tcPr>
          <w:p w14:paraId="739EE8E5" w14:textId="77777777" w:rsidR="000C307C" w:rsidRDefault="000C307C" w:rsidP="00E814A8">
            <w:pPr>
              <w:pStyle w:val="TableSideHeading"/>
              <w:keepLines w:val="0"/>
            </w:pPr>
            <w:r>
              <w:rPr>
                <w:sz w:val="26"/>
                <w:rtl/>
              </w:rPr>
              <w:t>תיקון סעיף 2</w:t>
            </w:r>
          </w:p>
        </w:tc>
        <w:tc>
          <w:tcPr>
            <w:tcW w:w="624" w:type="dxa"/>
          </w:tcPr>
          <w:p w14:paraId="32599B1E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3"/>
          </w:tcPr>
          <w:p w14:paraId="32A0A68A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בסעיף 2(ב)</w:t>
            </w:r>
            <w:r>
              <w:rPr>
                <w:rFonts w:hint="cs"/>
                <w:rtl/>
              </w:rPr>
              <w:t xml:space="preserve"> לחוק העיקרי,</w:t>
            </w:r>
            <w:r w:rsidRPr="00A439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במקום</w:t>
            </w:r>
            <w:r w:rsidRPr="00A43922"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מלא</w:t>
            </w:r>
            <w:r w:rsidRPr="00A43922">
              <w:rPr>
                <w:rtl/>
              </w:rPr>
              <w:t>" יבוא "קטן מלא, ו-50 אגורות לכל מכל משקה גדול מלא".</w:t>
            </w:r>
          </w:p>
        </w:tc>
      </w:tr>
      <w:tr w:rsidR="000C307C" w14:paraId="3057DC7A" w14:textId="77777777" w:rsidTr="00E973CF">
        <w:trPr>
          <w:cantSplit/>
        </w:trPr>
        <w:tc>
          <w:tcPr>
            <w:tcW w:w="1869" w:type="dxa"/>
          </w:tcPr>
          <w:p w14:paraId="246B2B05" w14:textId="77777777" w:rsidR="000C307C" w:rsidRDefault="000C307C" w:rsidP="00E814A8">
            <w:pPr>
              <w:pStyle w:val="TableSideHeading"/>
              <w:keepLines w:val="0"/>
            </w:pPr>
            <w:r>
              <w:rPr>
                <w:sz w:val="26"/>
                <w:rtl/>
              </w:rPr>
              <w:lastRenderedPageBreak/>
              <w:t>תיקון סעיף 6</w:t>
            </w:r>
          </w:p>
        </w:tc>
        <w:tc>
          <w:tcPr>
            <w:tcW w:w="624" w:type="dxa"/>
          </w:tcPr>
          <w:p w14:paraId="3E5E270C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  <w:gridSpan w:val="3"/>
          </w:tcPr>
          <w:p w14:paraId="3D0CD518" w14:textId="77777777" w:rsidR="000C307C" w:rsidRPr="00A43922" w:rsidRDefault="000C307C" w:rsidP="00E973CF">
            <w:pPr>
              <w:pStyle w:val="TableBlock"/>
            </w:pPr>
            <w:r w:rsidRPr="00A43922">
              <w:rPr>
                <w:rtl/>
              </w:rPr>
              <w:t>בסעיף 6</w:t>
            </w:r>
            <w:r>
              <w:rPr>
                <w:rFonts w:hint="cs"/>
                <w:rtl/>
              </w:rPr>
              <w:t xml:space="preserve">(ג) לחוק העיקרי </w:t>
            </w:r>
            <w:r>
              <w:rPr>
                <w:rFonts w:hint="eastAsia"/>
                <w:rtl/>
              </w:rPr>
              <w:t>–</w:t>
            </w:r>
          </w:p>
        </w:tc>
      </w:tr>
      <w:tr w:rsidR="000C307C" w14:paraId="244AAC5B" w14:textId="77777777" w:rsidTr="00E973CF">
        <w:trPr>
          <w:cantSplit/>
        </w:trPr>
        <w:tc>
          <w:tcPr>
            <w:tcW w:w="1869" w:type="dxa"/>
          </w:tcPr>
          <w:p w14:paraId="35B1F73B" w14:textId="77777777" w:rsidR="000C307C" w:rsidRDefault="000C307C" w:rsidP="00E814A8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07667425" w14:textId="77777777" w:rsidR="000C307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00825D87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בפסקה </w:t>
            </w:r>
            <w:r w:rsidRPr="00714964">
              <w:rPr>
                <w:rtl/>
              </w:rPr>
              <w:t>(2)</w:t>
            </w:r>
            <w:r>
              <w:rPr>
                <w:rFonts w:hint="cs"/>
                <w:rtl/>
              </w:rPr>
              <w:t>, אחרי</w:t>
            </w:r>
            <w:r>
              <w:rPr>
                <w:rtl/>
              </w:rPr>
              <w:t xml:space="preserve"> "מכלי משקה" יבוא "קטנים"</w:t>
            </w:r>
            <w:r>
              <w:rPr>
                <w:rFonts w:hint="cs"/>
                <w:rtl/>
              </w:rPr>
              <w:t>;</w:t>
            </w:r>
          </w:p>
        </w:tc>
      </w:tr>
      <w:tr w:rsidR="000C307C" w14:paraId="3FE45995" w14:textId="77777777" w:rsidTr="00E973CF">
        <w:trPr>
          <w:cantSplit/>
        </w:trPr>
        <w:tc>
          <w:tcPr>
            <w:tcW w:w="1869" w:type="dxa"/>
          </w:tcPr>
          <w:p w14:paraId="5FC2EE42" w14:textId="77777777" w:rsidR="000C307C" w:rsidRDefault="000C307C" w:rsidP="00E814A8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543B3F17" w14:textId="77777777" w:rsidR="000C307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7FF04718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פסקה (2) יבוא:</w:t>
            </w:r>
          </w:p>
        </w:tc>
      </w:tr>
      <w:tr w:rsidR="000C307C" w14:paraId="13168CC6" w14:textId="77777777" w:rsidTr="00E973CF">
        <w:trPr>
          <w:cantSplit/>
        </w:trPr>
        <w:tc>
          <w:tcPr>
            <w:tcW w:w="1869" w:type="dxa"/>
          </w:tcPr>
          <w:p w14:paraId="364D7854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550E0821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165ABD1F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2160DA7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"(3)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בית עסק אינו חייב לקבל מאותו צרכן יותר מ-20 מכלי משקה גדולים ריקים מסומנים ביום, ולשלם את דמי הפיקדון בעדם."</w:t>
            </w:r>
          </w:p>
        </w:tc>
      </w:tr>
      <w:tr w:rsidR="000C307C" w14:paraId="07FBEB1B" w14:textId="77777777" w:rsidTr="00E973CF">
        <w:trPr>
          <w:cantSplit/>
        </w:trPr>
        <w:tc>
          <w:tcPr>
            <w:tcW w:w="1869" w:type="dxa"/>
          </w:tcPr>
          <w:p w14:paraId="632337E2" w14:textId="77777777" w:rsidR="000C307C" w:rsidRDefault="000C307C" w:rsidP="00E814A8">
            <w:pPr>
              <w:pStyle w:val="TableSideHeading"/>
              <w:keepLines w:val="0"/>
            </w:pPr>
            <w:r>
              <w:rPr>
                <w:sz w:val="26"/>
                <w:rtl/>
              </w:rPr>
              <w:t>תיקון סעיף 7א</w:t>
            </w:r>
          </w:p>
        </w:tc>
        <w:tc>
          <w:tcPr>
            <w:tcW w:w="624" w:type="dxa"/>
          </w:tcPr>
          <w:p w14:paraId="5923BC88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3" w:type="dxa"/>
            <w:gridSpan w:val="3"/>
          </w:tcPr>
          <w:p w14:paraId="4B0488AB" w14:textId="77777777" w:rsidR="000C307C" w:rsidRPr="00A43922" w:rsidRDefault="000C307C" w:rsidP="00E973CF">
            <w:pPr>
              <w:pStyle w:val="TableBlock"/>
            </w:pPr>
            <w:r w:rsidRPr="00A43922">
              <w:rPr>
                <w:rtl/>
              </w:rPr>
              <w:t>בסעיף 7א לחוק</w:t>
            </w:r>
            <w:r>
              <w:rPr>
                <w:rFonts w:hint="cs"/>
                <w:rtl/>
              </w:rPr>
              <w:t xml:space="preserve"> העיקרי</w:t>
            </w:r>
            <w:r w:rsidRPr="00A43922">
              <w:rPr>
                <w:rtl/>
              </w:rPr>
              <w:t xml:space="preserve"> – </w:t>
            </w:r>
          </w:p>
        </w:tc>
      </w:tr>
      <w:tr w:rsidR="000C307C" w14:paraId="6F48658D" w14:textId="77777777" w:rsidTr="00E973CF">
        <w:trPr>
          <w:cantSplit/>
        </w:trPr>
        <w:tc>
          <w:tcPr>
            <w:tcW w:w="1869" w:type="dxa"/>
          </w:tcPr>
          <w:p w14:paraId="66771C42" w14:textId="77777777" w:rsidR="000C307C" w:rsidRDefault="000C307C" w:rsidP="00E814A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02840BB0" w14:textId="77777777" w:rsidR="000C307C" w:rsidRDefault="000C307C" w:rsidP="00E814A8">
            <w:pPr>
              <w:pStyle w:val="TableText"/>
              <w:keepLines w:val="0"/>
            </w:pPr>
          </w:p>
        </w:tc>
        <w:tc>
          <w:tcPr>
            <w:tcW w:w="7143" w:type="dxa"/>
            <w:gridSpan w:val="3"/>
          </w:tcPr>
          <w:p w14:paraId="1EC10E25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A43922">
              <w:rPr>
                <w:rtl/>
              </w:rPr>
              <w:t>בסעיף קטן (א)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  <w:r w:rsidRPr="00A43922">
              <w:rPr>
                <w:rtl/>
              </w:rPr>
              <w:t xml:space="preserve"> </w:t>
            </w:r>
          </w:p>
        </w:tc>
      </w:tr>
      <w:tr w:rsidR="000C307C" w14:paraId="2345C248" w14:textId="77777777" w:rsidTr="00E973CF">
        <w:trPr>
          <w:cantSplit/>
        </w:trPr>
        <w:tc>
          <w:tcPr>
            <w:tcW w:w="1869" w:type="dxa"/>
          </w:tcPr>
          <w:p w14:paraId="476CC756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3328047C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2140E583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51B18B9C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"מכלי משקה" יבוא "קטנים";</w:t>
            </w:r>
          </w:p>
        </w:tc>
      </w:tr>
      <w:tr w:rsidR="000C307C" w14:paraId="29EB7B56" w14:textId="77777777" w:rsidTr="00E973CF">
        <w:trPr>
          <w:cantSplit/>
        </w:trPr>
        <w:tc>
          <w:tcPr>
            <w:tcW w:w="1869" w:type="dxa"/>
          </w:tcPr>
          <w:p w14:paraId="463AF921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F7450EF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0C51DAE3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B46E5D2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בכל מקום, אחרי "מכלי המשקה" יבוא "הקטנים";</w:t>
            </w:r>
          </w:p>
        </w:tc>
      </w:tr>
      <w:tr w:rsidR="000C307C" w14:paraId="3893685C" w14:textId="77777777" w:rsidTr="00E973CF">
        <w:trPr>
          <w:cantSplit/>
        </w:trPr>
        <w:tc>
          <w:tcPr>
            <w:tcW w:w="1869" w:type="dxa"/>
          </w:tcPr>
          <w:p w14:paraId="49E7681C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D91DA28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6F6AFE28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6A52543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"יעד איסוף ממוצע" יבוא "למכלי משקה קטנים";</w:t>
            </w:r>
          </w:p>
        </w:tc>
      </w:tr>
      <w:tr w:rsidR="000C307C" w14:paraId="70775801" w14:textId="77777777" w:rsidTr="00E973CF">
        <w:trPr>
          <w:cantSplit/>
        </w:trPr>
        <w:tc>
          <w:tcPr>
            <w:tcW w:w="1869" w:type="dxa"/>
          </w:tcPr>
          <w:p w14:paraId="0A17765B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12427DF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231A734D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8C609EB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"יעד איסוף שנתי" יבוא "למכלי משקה קטנים";</w:t>
            </w:r>
          </w:p>
        </w:tc>
      </w:tr>
      <w:tr w:rsidR="000C307C" w14:paraId="62D26F92" w14:textId="77777777" w:rsidTr="00E973CF">
        <w:trPr>
          <w:cantSplit/>
        </w:trPr>
        <w:tc>
          <w:tcPr>
            <w:tcW w:w="1869" w:type="dxa"/>
          </w:tcPr>
          <w:p w14:paraId="2D782430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751108CC" w14:textId="77777777" w:rsidR="000C307C" w:rsidRDefault="000C307C" w:rsidP="00E814A8">
            <w:pPr>
              <w:pStyle w:val="TableText"/>
            </w:pPr>
          </w:p>
        </w:tc>
        <w:tc>
          <w:tcPr>
            <w:tcW w:w="7143" w:type="dxa"/>
            <w:gridSpan w:val="3"/>
          </w:tcPr>
          <w:p w14:paraId="298B5F44" w14:textId="77777777" w:rsidR="000C307C" w:rsidRPr="00C34DE2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(ב), אחרי "ויעדי האיסוף השנתיים" יבוא "למכלי משקה קטנים ריקים";</w:t>
            </w:r>
          </w:p>
        </w:tc>
      </w:tr>
      <w:tr w:rsidR="000C307C" w14:paraId="59EC881C" w14:textId="77777777" w:rsidTr="00E973CF">
        <w:trPr>
          <w:cantSplit/>
        </w:trPr>
        <w:tc>
          <w:tcPr>
            <w:tcW w:w="1869" w:type="dxa"/>
          </w:tcPr>
          <w:p w14:paraId="6354D9BE" w14:textId="428BD530" w:rsidR="000C307C" w:rsidRPr="0014495C" w:rsidRDefault="00E973CF" w:rsidP="00E814A8">
            <w:pPr>
              <w:pStyle w:val="TableSideHeading"/>
            </w:pPr>
            <w:r>
              <w:rPr>
                <w:rtl/>
              </w:rPr>
              <w:t xml:space="preserve"> </w:t>
            </w:r>
          </w:p>
        </w:tc>
        <w:tc>
          <w:tcPr>
            <w:tcW w:w="624" w:type="dxa"/>
          </w:tcPr>
          <w:p w14:paraId="49324635" w14:textId="77777777" w:rsidR="000C307C" w:rsidRDefault="000C307C" w:rsidP="00E814A8">
            <w:pPr>
              <w:pStyle w:val="TableText"/>
              <w:keepLines w:val="0"/>
            </w:pPr>
          </w:p>
        </w:tc>
        <w:tc>
          <w:tcPr>
            <w:tcW w:w="7143" w:type="dxa"/>
            <w:gridSpan w:val="3"/>
          </w:tcPr>
          <w:p w14:paraId="28BC4695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Pr="00A43922">
              <w:rPr>
                <w:rtl/>
              </w:rPr>
              <w:t xml:space="preserve">אחרי סעיף </w:t>
            </w:r>
            <w:r>
              <w:rPr>
                <w:rFonts w:hint="cs"/>
                <w:rtl/>
              </w:rPr>
              <w:t>קטן (ב) יבוא:</w:t>
            </w:r>
          </w:p>
        </w:tc>
      </w:tr>
      <w:tr w:rsidR="000C307C" w14:paraId="68A73764" w14:textId="77777777" w:rsidTr="00E973CF">
        <w:trPr>
          <w:cantSplit/>
        </w:trPr>
        <w:tc>
          <w:tcPr>
            <w:tcW w:w="1869" w:type="dxa"/>
          </w:tcPr>
          <w:p w14:paraId="622E8D09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2EE57D91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350F01B6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1BC17B63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"(ב1)</w:t>
            </w:r>
            <w:r>
              <w:rPr>
                <w:rtl/>
              </w:rPr>
              <w:tab/>
            </w:r>
            <w:r w:rsidRPr="00714964">
              <w:rPr>
                <w:rtl/>
              </w:rPr>
              <w:t>יצרן ויבואן יאספו מכלי משקה גדולים ריקים מסומנים בשיעור שנתי ממוצע מסך מכלי המשקה הגדולים המלאים ששיווקו בכל תקופה של שנתיים (להלן – יעד איסוף ממוצע</w:t>
            </w:r>
            <w:r>
              <w:rPr>
                <w:rFonts w:hint="cs"/>
                <w:rtl/>
              </w:rPr>
              <w:t xml:space="preserve"> למכלי משקה גדולים</w:t>
            </w:r>
            <w:r w:rsidRPr="00714964">
              <w:rPr>
                <w:rtl/>
              </w:rPr>
              <w:t>), שלא יפחת מ-82 אחוזים, ובלבד ששיעור מכלי המשקה הגדולים שיאספו מסך מכלי המשקה הגדולים המלאים ששיווקו בכל שנה (להלן – יעד איסוף שנתי</w:t>
            </w:r>
            <w:r>
              <w:rPr>
                <w:rFonts w:hint="cs"/>
                <w:rtl/>
              </w:rPr>
              <w:t xml:space="preserve"> למכלי משקה גדולים</w:t>
            </w:r>
            <w:r w:rsidRPr="00714964">
              <w:rPr>
                <w:rtl/>
              </w:rPr>
              <w:t>) לא יפחת מ-80 אחוזים; לעניין זה, תקופה של שנתיים תימנה החל ב-1 בינואר של השנה שלאחר התקופה האמורה שקדמה לה.</w:t>
            </w:r>
          </w:p>
        </w:tc>
      </w:tr>
      <w:tr w:rsidR="000C307C" w14:paraId="141AF2D2" w14:textId="77777777" w:rsidTr="00E973CF">
        <w:trPr>
          <w:cantSplit/>
        </w:trPr>
        <w:tc>
          <w:tcPr>
            <w:tcW w:w="1869" w:type="dxa"/>
          </w:tcPr>
          <w:p w14:paraId="7204DA88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3F408021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28803B0C" w14:textId="77777777" w:rsidR="000C307C" w:rsidRDefault="000C307C" w:rsidP="00E814A8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5A65F2A8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(ב2)</w:t>
            </w:r>
            <w:r>
              <w:rPr>
                <w:rtl/>
              </w:rPr>
              <w:tab/>
              <w:t>על אף האמור בסעיף קטן (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), בשנים 20</w:t>
            </w:r>
            <w:r>
              <w:rPr>
                <w:rFonts w:hint="cs"/>
                <w:rtl/>
              </w:rPr>
              <w:t>20</w:t>
            </w:r>
            <w:r>
              <w:rPr>
                <w:rtl/>
              </w:rPr>
              <w:t xml:space="preserve"> עד 202</w:t>
            </w:r>
            <w:r>
              <w:rPr>
                <w:rFonts w:hint="cs"/>
                <w:rtl/>
              </w:rPr>
              <w:t>5</w:t>
            </w:r>
            <w:r w:rsidRPr="00714964">
              <w:rPr>
                <w:rtl/>
              </w:rPr>
              <w:t xml:space="preserve"> יהיו יעדי האיסוף הממוצעים ו</w:t>
            </w:r>
            <w:r>
              <w:rPr>
                <w:rtl/>
              </w:rPr>
              <w:t>יעדי האיסוף השנתיים למכלי משקה גדולים ריקים</w:t>
            </w:r>
            <w:r w:rsidRPr="00714964">
              <w:rPr>
                <w:rtl/>
              </w:rPr>
              <w:t xml:space="preserve"> כמפורט להלן:</w:t>
            </w:r>
          </w:p>
        </w:tc>
      </w:tr>
      <w:tr w:rsidR="000C307C" w14:paraId="5E20420A" w14:textId="77777777" w:rsidTr="00E973CF">
        <w:trPr>
          <w:cantSplit/>
        </w:trPr>
        <w:tc>
          <w:tcPr>
            <w:tcW w:w="1869" w:type="dxa"/>
          </w:tcPr>
          <w:p w14:paraId="68E22952" w14:textId="77777777" w:rsidR="000C307C" w:rsidRDefault="000C307C" w:rsidP="00E814A8">
            <w:pPr>
              <w:pStyle w:val="TableSideHeading"/>
            </w:pPr>
          </w:p>
        </w:tc>
        <w:tc>
          <w:tcPr>
            <w:tcW w:w="624" w:type="dxa"/>
          </w:tcPr>
          <w:p w14:paraId="4758101F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186F4D3B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00F28D5B" w14:textId="77777777" w:rsidR="000C307C" w:rsidRDefault="000C307C" w:rsidP="00E814A8">
            <w:pPr>
              <w:pStyle w:val="TableText"/>
            </w:pPr>
          </w:p>
        </w:tc>
        <w:tc>
          <w:tcPr>
            <w:tcW w:w="5895" w:type="dxa"/>
          </w:tcPr>
          <w:p w14:paraId="74258305" w14:textId="77777777" w:rsidR="000C307C" w:rsidRDefault="000C307C" w:rsidP="00E973CF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בשנים 2020 ו-2021</w:t>
            </w:r>
            <w:r w:rsidRPr="00714964">
              <w:rPr>
                <w:rtl/>
              </w:rPr>
              <w:t xml:space="preserve"> יעד האיסוף הממוצע לא יפחת מ-62 אחוזים, ויעד האיסוף השנתי לא יפחת</w:t>
            </w:r>
            <w:r>
              <w:rPr>
                <w:rtl/>
              </w:rPr>
              <w:t xml:space="preserve"> בשנת 20</w:t>
            </w:r>
            <w:r>
              <w:rPr>
                <w:rFonts w:hint="cs"/>
                <w:rtl/>
              </w:rPr>
              <w:t>20</w:t>
            </w:r>
            <w:r>
              <w:rPr>
                <w:rtl/>
              </w:rPr>
              <w:t xml:space="preserve"> מ-55 אחוזים ובשנת 20</w:t>
            </w:r>
            <w:r>
              <w:rPr>
                <w:rFonts w:hint="cs"/>
                <w:rtl/>
              </w:rPr>
              <w:t>21</w:t>
            </w:r>
            <w:r w:rsidRPr="00714964">
              <w:rPr>
                <w:rtl/>
              </w:rPr>
              <w:t xml:space="preserve"> מ-60 אחוזים;</w:t>
            </w:r>
          </w:p>
        </w:tc>
      </w:tr>
      <w:tr w:rsidR="000C307C" w14:paraId="0C80EEFD" w14:textId="77777777" w:rsidTr="00E973CF">
        <w:trPr>
          <w:cantSplit/>
        </w:trPr>
        <w:tc>
          <w:tcPr>
            <w:tcW w:w="1869" w:type="dxa"/>
          </w:tcPr>
          <w:p w14:paraId="16925C51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7EC4B5F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0F143AFB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16275CE5" w14:textId="77777777" w:rsidR="000C307C" w:rsidRDefault="000C307C" w:rsidP="00E814A8">
            <w:pPr>
              <w:pStyle w:val="TableText"/>
            </w:pPr>
          </w:p>
        </w:tc>
        <w:tc>
          <w:tcPr>
            <w:tcW w:w="5895" w:type="dxa"/>
          </w:tcPr>
          <w:p w14:paraId="7F236905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בשנים 2022 ו-2023 </w:t>
            </w:r>
            <w:r w:rsidRPr="00714964">
              <w:rPr>
                <w:rtl/>
              </w:rPr>
              <w:t xml:space="preserve">יעד האיסוף הממוצע לא יפחת מ-72 אחוזים, ויעד </w:t>
            </w:r>
            <w:r>
              <w:rPr>
                <w:rtl/>
              </w:rPr>
              <w:t>האיסוף השנתי לא יפחת בשנת 20</w:t>
            </w:r>
            <w:r>
              <w:rPr>
                <w:rFonts w:hint="cs"/>
                <w:rtl/>
              </w:rPr>
              <w:t>22</w:t>
            </w:r>
            <w:r>
              <w:rPr>
                <w:rtl/>
              </w:rPr>
              <w:t xml:space="preserve"> מ-65 אחוזים ובשנת 20</w:t>
            </w:r>
            <w:r>
              <w:rPr>
                <w:rFonts w:hint="cs"/>
                <w:rtl/>
              </w:rPr>
              <w:t>23</w:t>
            </w:r>
            <w:r w:rsidRPr="00714964">
              <w:rPr>
                <w:rtl/>
              </w:rPr>
              <w:t xml:space="preserve"> מ-70 אחוזים</w:t>
            </w:r>
            <w:r>
              <w:rPr>
                <w:rFonts w:hint="cs"/>
                <w:rtl/>
              </w:rPr>
              <w:t>;</w:t>
            </w:r>
          </w:p>
        </w:tc>
      </w:tr>
      <w:tr w:rsidR="000C307C" w14:paraId="07DE4A48" w14:textId="77777777" w:rsidTr="00E973CF">
        <w:trPr>
          <w:cantSplit/>
        </w:trPr>
        <w:tc>
          <w:tcPr>
            <w:tcW w:w="1869" w:type="dxa"/>
          </w:tcPr>
          <w:p w14:paraId="495D114A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126D1243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7D6247AA" w14:textId="77777777" w:rsidR="000C307C" w:rsidRDefault="000C307C" w:rsidP="00E814A8">
            <w:pPr>
              <w:pStyle w:val="TableText"/>
            </w:pPr>
          </w:p>
        </w:tc>
        <w:tc>
          <w:tcPr>
            <w:tcW w:w="624" w:type="dxa"/>
          </w:tcPr>
          <w:p w14:paraId="3E642EDB" w14:textId="77777777" w:rsidR="000C307C" w:rsidRDefault="000C307C" w:rsidP="00E814A8">
            <w:pPr>
              <w:pStyle w:val="TableText"/>
            </w:pPr>
          </w:p>
        </w:tc>
        <w:tc>
          <w:tcPr>
            <w:tcW w:w="5895" w:type="dxa"/>
          </w:tcPr>
          <w:p w14:paraId="24666931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בשנים 2024 ו-2025 </w:t>
            </w:r>
            <w:r>
              <w:rPr>
                <w:rFonts w:hint="eastAsia"/>
                <w:rtl/>
              </w:rPr>
              <w:t>– יעד האיסוף הממוצע לא</w:t>
            </w:r>
            <w:r>
              <w:rPr>
                <w:rFonts w:hint="cs"/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יפחת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מ</w:t>
            </w:r>
            <w:r w:rsidRPr="00714964">
              <w:rPr>
                <w:rtl/>
              </w:rPr>
              <w:t xml:space="preserve">-82 </w:t>
            </w:r>
            <w:r w:rsidRPr="00714964">
              <w:rPr>
                <w:rFonts w:hint="cs"/>
                <w:rtl/>
              </w:rPr>
              <w:t>אחוזים</w:t>
            </w:r>
            <w:r w:rsidRPr="00714964">
              <w:rPr>
                <w:rtl/>
              </w:rPr>
              <w:t xml:space="preserve">, </w:t>
            </w:r>
            <w:r w:rsidRPr="00714964">
              <w:rPr>
                <w:rFonts w:hint="cs"/>
                <w:rtl/>
              </w:rPr>
              <w:t>ויעד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האיסוף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השנתי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לא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יפחת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בשנת</w:t>
            </w:r>
            <w:r w:rsidRPr="00714964">
              <w:rPr>
                <w:rtl/>
              </w:rPr>
              <w:t xml:space="preserve"> 202</w:t>
            </w:r>
            <w:r>
              <w:rPr>
                <w:rFonts w:hint="cs"/>
                <w:rtl/>
              </w:rPr>
              <w:t>4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מ</w:t>
            </w:r>
            <w:r w:rsidRPr="00714964">
              <w:rPr>
                <w:rtl/>
              </w:rPr>
              <w:t xml:space="preserve">-75 </w:t>
            </w:r>
            <w:r w:rsidRPr="00714964">
              <w:rPr>
                <w:rFonts w:hint="cs"/>
                <w:rtl/>
              </w:rPr>
              <w:t>אחוזים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ובשנת</w:t>
            </w:r>
            <w:r>
              <w:rPr>
                <w:rtl/>
              </w:rPr>
              <w:t xml:space="preserve"> 202</w:t>
            </w:r>
            <w:r>
              <w:rPr>
                <w:rFonts w:hint="cs"/>
                <w:rtl/>
              </w:rPr>
              <w:t>5</w:t>
            </w:r>
            <w:r w:rsidRPr="00714964">
              <w:rPr>
                <w:rtl/>
              </w:rPr>
              <w:t xml:space="preserve"> </w:t>
            </w:r>
            <w:r w:rsidRPr="00714964">
              <w:rPr>
                <w:rFonts w:hint="cs"/>
                <w:rtl/>
              </w:rPr>
              <w:t>מ</w:t>
            </w:r>
            <w:r w:rsidRPr="00714964">
              <w:rPr>
                <w:rtl/>
              </w:rPr>
              <w:t xml:space="preserve">-80 </w:t>
            </w:r>
            <w:r w:rsidRPr="00714964">
              <w:rPr>
                <w:rFonts w:hint="cs"/>
                <w:rtl/>
              </w:rPr>
              <w:t>אחוזים</w:t>
            </w:r>
            <w:r w:rsidRPr="00714964">
              <w:rPr>
                <w:rtl/>
              </w:rPr>
              <w:t>.</w:t>
            </w:r>
            <w:r>
              <w:rPr>
                <w:rFonts w:hint="cs"/>
                <w:rtl/>
              </w:rPr>
              <w:t>"</w:t>
            </w:r>
          </w:p>
        </w:tc>
      </w:tr>
      <w:tr w:rsidR="000C307C" w14:paraId="428A36C7" w14:textId="77777777" w:rsidTr="00E973CF">
        <w:trPr>
          <w:cantSplit/>
        </w:trPr>
        <w:tc>
          <w:tcPr>
            <w:tcW w:w="1869" w:type="dxa"/>
          </w:tcPr>
          <w:p w14:paraId="75D45896" w14:textId="77777777" w:rsidR="000C307C" w:rsidRPr="00A43922" w:rsidRDefault="000C307C" w:rsidP="00E814A8">
            <w:pPr>
              <w:pStyle w:val="TableSideHeading"/>
            </w:pPr>
            <w:r w:rsidRPr="006B5C95">
              <w:rPr>
                <w:rtl/>
              </w:rPr>
              <w:t>תיקון סעיף 7ב</w:t>
            </w:r>
          </w:p>
        </w:tc>
        <w:tc>
          <w:tcPr>
            <w:tcW w:w="624" w:type="dxa"/>
          </w:tcPr>
          <w:p w14:paraId="6E5767AD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143" w:type="dxa"/>
            <w:gridSpan w:val="3"/>
          </w:tcPr>
          <w:p w14:paraId="2A315B59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בסעיף 7ב לחוק</w:t>
            </w:r>
            <w:r>
              <w:rPr>
                <w:rFonts w:hint="cs"/>
                <w:rtl/>
              </w:rPr>
              <w:t xml:space="preserve"> העיקרי</w:t>
            </w:r>
            <w:r w:rsidRPr="00A43922">
              <w:rPr>
                <w:rtl/>
              </w:rPr>
              <w:t xml:space="preserve"> – </w:t>
            </w:r>
          </w:p>
        </w:tc>
      </w:tr>
      <w:tr w:rsidR="000C307C" w14:paraId="47BE5C4B" w14:textId="77777777" w:rsidTr="00E973CF">
        <w:trPr>
          <w:cantSplit/>
        </w:trPr>
        <w:tc>
          <w:tcPr>
            <w:tcW w:w="1869" w:type="dxa"/>
          </w:tcPr>
          <w:p w14:paraId="4B645B24" w14:textId="77777777" w:rsidR="000C307C" w:rsidRPr="0014495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4094EAA" w14:textId="77777777" w:rsidR="000C307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541BC0C0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(א), אחרי</w:t>
            </w:r>
            <w:r w:rsidRPr="00714964">
              <w:rPr>
                <w:rtl/>
              </w:rPr>
              <w:t xml:space="preserve"> "ביעד איסוף שנתי לפי סעיף 7א</w:t>
            </w:r>
            <w:r>
              <w:rPr>
                <w:rtl/>
              </w:rPr>
              <w:t>" יבוא "למכל משקה קטן או גדול"</w:t>
            </w:r>
            <w:r>
              <w:rPr>
                <w:rFonts w:hint="cs"/>
                <w:rtl/>
              </w:rPr>
              <w:t>;</w:t>
            </w:r>
          </w:p>
        </w:tc>
      </w:tr>
      <w:tr w:rsidR="000C307C" w14:paraId="0DF3F59D" w14:textId="77777777" w:rsidTr="00E973CF">
        <w:trPr>
          <w:cantSplit/>
        </w:trPr>
        <w:tc>
          <w:tcPr>
            <w:tcW w:w="1869" w:type="dxa"/>
          </w:tcPr>
          <w:p w14:paraId="6CE77B37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76EE23F" w14:textId="77777777" w:rsidR="000C307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43EA48B4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(ב), אחרי</w:t>
            </w:r>
            <w:r>
              <w:rPr>
                <w:rtl/>
              </w:rPr>
              <w:t xml:space="preserve"> "ביעד איסוף ממוצע לפי סעיף 7א"</w:t>
            </w:r>
            <w:r w:rsidRPr="00714964">
              <w:rPr>
                <w:rtl/>
              </w:rPr>
              <w:t xml:space="preserve"> יבוא "למכל משקה קטן או גדול".</w:t>
            </w:r>
          </w:p>
        </w:tc>
      </w:tr>
      <w:tr w:rsidR="000C307C" w14:paraId="4A5A0E31" w14:textId="77777777" w:rsidTr="00E973CF">
        <w:trPr>
          <w:cantSplit/>
        </w:trPr>
        <w:tc>
          <w:tcPr>
            <w:tcW w:w="1869" w:type="dxa"/>
          </w:tcPr>
          <w:p w14:paraId="632241CE" w14:textId="77777777" w:rsidR="000C307C" w:rsidRPr="00A43922" w:rsidRDefault="000C307C" w:rsidP="00E814A8">
            <w:pPr>
              <w:pStyle w:val="TableSideHeading"/>
            </w:pPr>
            <w:r w:rsidRPr="006B5C95">
              <w:rPr>
                <w:rtl/>
              </w:rPr>
              <w:t>ביטול סעיפים 7ה ו-7ו</w:t>
            </w:r>
          </w:p>
        </w:tc>
        <w:tc>
          <w:tcPr>
            <w:tcW w:w="624" w:type="dxa"/>
          </w:tcPr>
          <w:p w14:paraId="34435766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  <w:gridSpan w:val="3"/>
          </w:tcPr>
          <w:p w14:paraId="167CBC8C" w14:textId="6DEF2AE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סעי</w:t>
            </w:r>
            <w:r>
              <w:rPr>
                <w:rFonts w:hint="cs"/>
                <w:rtl/>
              </w:rPr>
              <w:t>פים</w:t>
            </w:r>
            <w:r w:rsidRPr="00A43922">
              <w:rPr>
                <w:rtl/>
              </w:rPr>
              <w:t xml:space="preserve"> 7ה ו</w:t>
            </w:r>
            <w:r>
              <w:rPr>
                <w:rFonts w:hint="cs"/>
                <w:rtl/>
              </w:rPr>
              <w:t>-</w:t>
            </w:r>
            <w:r w:rsidRPr="00A43922">
              <w:rPr>
                <w:rtl/>
              </w:rPr>
              <w:t>7ו לחוק</w:t>
            </w:r>
            <w:r>
              <w:rPr>
                <w:rFonts w:hint="cs"/>
                <w:rtl/>
              </w:rPr>
              <w:t xml:space="preserve"> העיקרי </w:t>
            </w:r>
            <w:r>
              <w:rPr>
                <w:rtl/>
              </w:rPr>
              <w:t xml:space="preserve"> – בטל</w:t>
            </w:r>
            <w:r w:rsidR="00E973CF">
              <w:rPr>
                <w:rFonts w:hint="cs"/>
                <w:rtl/>
              </w:rPr>
              <w:t>ים</w:t>
            </w:r>
            <w:r w:rsidRPr="00A43922">
              <w:rPr>
                <w:rtl/>
              </w:rPr>
              <w:t>.</w:t>
            </w:r>
            <w:r w:rsidRPr="00A43922" w:rsidDel="0014495C">
              <w:rPr>
                <w:rtl/>
              </w:rPr>
              <w:t xml:space="preserve"> </w:t>
            </w:r>
            <w:r w:rsidRPr="00A43922">
              <w:rPr>
                <w:rtl/>
              </w:rPr>
              <w:t xml:space="preserve">  </w:t>
            </w:r>
          </w:p>
        </w:tc>
      </w:tr>
      <w:tr w:rsidR="000C307C" w14:paraId="69C6F96F" w14:textId="77777777" w:rsidTr="00E973CF">
        <w:trPr>
          <w:cantSplit/>
        </w:trPr>
        <w:tc>
          <w:tcPr>
            <w:tcW w:w="1869" w:type="dxa"/>
          </w:tcPr>
          <w:p w14:paraId="7BDF44A4" w14:textId="77777777" w:rsidR="000C307C" w:rsidRPr="00A43922" w:rsidRDefault="000C307C" w:rsidP="00E814A8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תיקון</w:t>
            </w:r>
            <w:r w:rsidRPr="00A43922">
              <w:rPr>
                <w:rtl/>
              </w:rPr>
              <w:t xml:space="preserve"> סעיף 10</w:t>
            </w:r>
          </w:p>
        </w:tc>
        <w:tc>
          <w:tcPr>
            <w:tcW w:w="624" w:type="dxa"/>
          </w:tcPr>
          <w:p w14:paraId="3F59356C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7143" w:type="dxa"/>
            <w:gridSpan w:val="3"/>
          </w:tcPr>
          <w:p w14:paraId="5C635529" w14:textId="22BB8EA5" w:rsidR="000C307C" w:rsidRPr="00A43922" w:rsidRDefault="000C307C" w:rsidP="0000584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Pr="00A43922">
              <w:rPr>
                <w:rtl/>
              </w:rPr>
              <w:t>סעיף 10</w:t>
            </w:r>
            <w:r>
              <w:rPr>
                <w:rFonts w:hint="cs"/>
                <w:rtl/>
              </w:rPr>
              <w:t xml:space="preserve"> לחוק העיקרי, סעיף קטן (ה)</w:t>
            </w:r>
            <w:r w:rsidRPr="00A43922">
              <w:rPr>
                <w:rtl/>
              </w:rPr>
              <w:t xml:space="preserve"> – </w:t>
            </w:r>
            <w:r w:rsidR="00005846">
              <w:rPr>
                <w:rFonts w:hint="cs"/>
                <w:rtl/>
              </w:rPr>
              <w:t>בטל</w:t>
            </w:r>
            <w:r w:rsidRPr="00A43922">
              <w:rPr>
                <w:rtl/>
              </w:rPr>
              <w:t>.</w:t>
            </w:r>
          </w:p>
        </w:tc>
      </w:tr>
      <w:tr w:rsidR="000C307C" w14:paraId="56B62ABF" w14:textId="77777777" w:rsidTr="00E973CF">
        <w:trPr>
          <w:cantSplit/>
        </w:trPr>
        <w:tc>
          <w:tcPr>
            <w:tcW w:w="1869" w:type="dxa"/>
          </w:tcPr>
          <w:p w14:paraId="115BF49D" w14:textId="77777777" w:rsidR="000C307C" w:rsidRPr="00A43922" w:rsidRDefault="000C307C" w:rsidP="00E814A8">
            <w:pPr>
              <w:pStyle w:val="TableSideHeading"/>
              <w:rPr>
                <w:rtl/>
              </w:rPr>
            </w:pPr>
            <w:r w:rsidRPr="00A43922">
              <w:rPr>
                <w:rtl/>
              </w:rPr>
              <w:t>תיקון סעיף 11</w:t>
            </w:r>
          </w:p>
        </w:tc>
        <w:tc>
          <w:tcPr>
            <w:tcW w:w="624" w:type="dxa"/>
          </w:tcPr>
          <w:p w14:paraId="0FC3E3FC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7143" w:type="dxa"/>
            <w:gridSpan w:val="3"/>
          </w:tcPr>
          <w:p w14:paraId="690DEFD2" w14:textId="77777777" w:rsidR="000C307C" w:rsidRPr="00A43922" w:rsidRDefault="000C307C" w:rsidP="00E973CF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>בסעיף 11 לחוק</w:t>
            </w:r>
            <w:r>
              <w:rPr>
                <w:rFonts w:hint="cs"/>
                <w:rtl/>
              </w:rPr>
              <w:t xml:space="preserve"> העיקרי</w:t>
            </w:r>
            <w:r w:rsidRPr="00A43922">
              <w:rPr>
                <w:rtl/>
              </w:rPr>
              <w:t xml:space="preserve"> –</w:t>
            </w:r>
          </w:p>
        </w:tc>
      </w:tr>
      <w:tr w:rsidR="000C307C" w14:paraId="71B7FE50" w14:textId="77777777" w:rsidTr="00E973CF">
        <w:trPr>
          <w:cantSplit/>
        </w:trPr>
        <w:tc>
          <w:tcPr>
            <w:tcW w:w="1869" w:type="dxa"/>
          </w:tcPr>
          <w:p w14:paraId="2592CAF6" w14:textId="77777777" w:rsidR="000C307C" w:rsidRPr="0014495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B811696" w14:textId="77777777" w:rsidR="000C307C" w:rsidDel="00B9135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724C3C73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</w:t>
            </w:r>
            <w:r w:rsidRPr="008A3D1C">
              <w:rPr>
                <w:rtl/>
              </w:rPr>
              <w:t>קטן (א), המילה "7ו" – תימחק</w:t>
            </w:r>
            <w:r>
              <w:rPr>
                <w:rFonts w:hint="cs"/>
                <w:rtl/>
              </w:rPr>
              <w:t>;</w:t>
            </w:r>
          </w:p>
        </w:tc>
      </w:tr>
      <w:tr w:rsidR="000C307C" w14:paraId="257B5350" w14:textId="77777777" w:rsidTr="00E973CF">
        <w:trPr>
          <w:cantSplit/>
        </w:trPr>
        <w:tc>
          <w:tcPr>
            <w:tcW w:w="1869" w:type="dxa"/>
          </w:tcPr>
          <w:p w14:paraId="3AA42AB0" w14:textId="77777777" w:rsidR="000C307C" w:rsidRDefault="000C307C" w:rsidP="00E814A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70683DE" w14:textId="77777777" w:rsidR="000C307C" w:rsidDel="00B9135C" w:rsidRDefault="000C307C" w:rsidP="00E814A8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</w:tcPr>
          <w:p w14:paraId="5FFDC4FF" w14:textId="77777777" w:rsidR="000C307C" w:rsidRDefault="000C307C" w:rsidP="00E973C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</w:t>
            </w:r>
            <w:r w:rsidRPr="008A3D1C">
              <w:rPr>
                <w:rtl/>
              </w:rPr>
              <w:t>קטן (ב)(1א) המילים "או מכלי משקה גדולים" – יימחקו</w:t>
            </w:r>
            <w:r>
              <w:rPr>
                <w:rFonts w:hint="cs"/>
                <w:rtl/>
              </w:rPr>
              <w:t xml:space="preserve">, ובמקום </w:t>
            </w:r>
            <w:proofErr w:type="spellStart"/>
            <w:r>
              <w:rPr>
                <w:rFonts w:hint="cs"/>
                <w:rtl/>
              </w:rPr>
              <w:t>הסיפה</w:t>
            </w:r>
            <w:proofErr w:type="spellEnd"/>
            <w:r>
              <w:rPr>
                <w:rFonts w:hint="cs"/>
                <w:rtl/>
              </w:rPr>
              <w:t xml:space="preserve"> החל במילים "סעיפים" יבוא "סעיף 7ד".</w:t>
            </w:r>
          </w:p>
        </w:tc>
      </w:tr>
      <w:tr w:rsidR="000C307C" w14:paraId="2F2ADF5D" w14:textId="77777777" w:rsidTr="00E973CF">
        <w:trPr>
          <w:cantSplit/>
        </w:trPr>
        <w:tc>
          <w:tcPr>
            <w:tcW w:w="1869" w:type="dxa"/>
          </w:tcPr>
          <w:p w14:paraId="0737F464" w14:textId="77777777" w:rsidR="000C307C" w:rsidRPr="00A43922" w:rsidRDefault="000C307C" w:rsidP="00E814A8">
            <w:pPr>
              <w:pStyle w:val="TableSideHeading"/>
              <w:rPr>
                <w:rtl/>
              </w:rPr>
            </w:pPr>
            <w:r w:rsidRPr="003C0D4F">
              <w:rPr>
                <w:rtl/>
              </w:rPr>
              <w:t>תיקון סעיף 18</w:t>
            </w:r>
          </w:p>
        </w:tc>
        <w:tc>
          <w:tcPr>
            <w:tcW w:w="624" w:type="dxa"/>
          </w:tcPr>
          <w:p w14:paraId="08A74905" w14:textId="77777777" w:rsidR="000C307C" w:rsidRDefault="000C307C" w:rsidP="00E814A8">
            <w:pPr>
              <w:pStyle w:val="TableText"/>
              <w:keepLines w:val="0"/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7143" w:type="dxa"/>
            <w:gridSpan w:val="3"/>
          </w:tcPr>
          <w:p w14:paraId="14A8EA22" w14:textId="225A721B" w:rsidR="000C307C" w:rsidRPr="00A43922" w:rsidRDefault="000C307C" w:rsidP="00330C36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 xml:space="preserve">בסעיף 18(א)(8) </w:t>
            </w:r>
            <w:r>
              <w:rPr>
                <w:rFonts w:hint="cs"/>
                <w:rtl/>
              </w:rPr>
              <w:t xml:space="preserve">לחוק העיקרי, המילים "או מכלי משקה גדולים" </w:t>
            </w:r>
            <w:r>
              <w:rPr>
                <w:rFonts w:hint="eastAsia"/>
                <w:rtl/>
              </w:rPr>
              <w:t xml:space="preserve">– יימחקו, ובמקום </w:t>
            </w:r>
            <w:proofErr w:type="spellStart"/>
            <w:r>
              <w:rPr>
                <w:rFonts w:hint="cs"/>
                <w:rtl/>
              </w:rPr>
              <w:t>הסיפה</w:t>
            </w:r>
            <w:proofErr w:type="spellEnd"/>
            <w:r>
              <w:rPr>
                <w:rFonts w:hint="cs"/>
                <w:rtl/>
              </w:rPr>
              <w:t xml:space="preserve"> החל במיל</w:t>
            </w:r>
            <w:r w:rsidR="00330C3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"סעיפים" יבוא "סעיף 7ד".</w:t>
            </w:r>
            <w:bookmarkStart w:id="8" w:name="_GoBack"/>
            <w:bookmarkEnd w:id="8"/>
          </w:p>
        </w:tc>
      </w:tr>
      <w:tr w:rsidR="000C307C" w14:paraId="6E9B8145" w14:textId="77777777" w:rsidTr="00E973CF">
        <w:trPr>
          <w:cantSplit/>
        </w:trPr>
        <w:tc>
          <w:tcPr>
            <w:tcW w:w="1869" w:type="dxa"/>
          </w:tcPr>
          <w:p w14:paraId="1AC7B16E" w14:textId="77777777" w:rsidR="000C307C" w:rsidRPr="00A43922" w:rsidRDefault="000C307C" w:rsidP="00E814A8">
            <w:pPr>
              <w:pStyle w:val="TableSideHeading"/>
              <w:rPr>
                <w:rtl/>
              </w:rPr>
            </w:pPr>
            <w:r w:rsidRPr="00A43922">
              <w:rPr>
                <w:rtl/>
              </w:rPr>
              <w:t>תחילה</w:t>
            </w:r>
          </w:p>
        </w:tc>
        <w:tc>
          <w:tcPr>
            <w:tcW w:w="624" w:type="dxa"/>
          </w:tcPr>
          <w:p w14:paraId="79EE76BD" w14:textId="77777777" w:rsidR="000C307C" w:rsidRPr="00A43922" w:rsidRDefault="000C307C" w:rsidP="00E814A8">
            <w:pPr>
              <w:pStyle w:val="TableText"/>
              <w:keepLines w:val="0"/>
            </w:pPr>
            <w:r w:rsidRPr="00A43922">
              <w:rPr>
                <w:rFonts w:hint="cs"/>
                <w:rtl/>
              </w:rPr>
              <w:t>10</w:t>
            </w:r>
            <w:r w:rsidRPr="00A43922">
              <w:rPr>
                <w:rtl/>
              </w:rPr>
              <w:t>.</w:t>
            </w:r>
          </w:p>
        </w:tc>
        <w:tc>
          <w:tcPr>
            <w:tcW w:w="7143" w:type="dxa"/>
            <w:gridSpan w:val="3"/>
          </w:tcPr>
          <w:p w14:paraId="4C4E3030" w14:textId="30AC40C9" w:rsidR="000C307C" w:rsidRPr="00A43922" w:rsidRDefault="000C307C" w:rsidP="00C95E6E">
            <w:pPr>
              <w:pStyle w:val="TableBlock"/>
              <w:rPr>
                <w:rtl/>
              </w:rPr>
            </w:pPr>
            <w:r w:rsidRPr="00A43922">
              <w:rPr>
                <w:rtl/>
              </w:rPr>
              <w:t xml:space="preserve">תחילתו של חוק זה ביום </w:t>
            </w:r>
            <w:r w:rsidRPr="00A43922">
              <w:rPr>
                <w:rFonts w:hint="cs"/>
                <w:rtl/>
              </w:rPr>
              <w:t>ז</w:t>
            </w:r>
            <w:r w:rsidRPr="00A43922">
              <w:rPr>
                <w:rtl/>
              </w:rPr>
              <w:t>' ב</w:t>
            </w:r>
            <w:r w:rsidR="00C95E6E">
              <w:rPr>
                <w:rFonts w:hint="cs"/>
                <w:rtl/>
              </w:rPr>
              <w:t xml:space="preserve">ניסן </w:t>
            </w:r>
            <w:proofErr w:type="spellStart"/>
            <w:r w:rsidR="00C95E6E">
              <w:rPr>
                <w:rtl/>
              </w:rPr>
              <w:t>התש</w:t>
            </w:r>
            <w:r w:rsidR="00C95E6E">
              <w:rPr>
                <w:rFonts w:hint="cs"/>
                <w:rtl/>
              </w:rPr>
              <w:t>"ף</w:t>
            </w:r>
            <w:proofErr w:type="spellEnd"/>
            <w:r w:rsidRPr="00A43922">
              <w:rPr>
                <w:rtl/>
              </w:rPr>
              <w:t xml:space="preserve"> (1 </w:t>
            </w:r>
            <w:r w:rsidRPr="00A43922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אפריל</w:t>
            </w:r>
            <w:r w:rsidRPr="00A43922">
              <w:rPr>
                <w:rtl/>
              </w:rPr>
              <w:t xml:space="preserve"> </w:t>
            </w:r>
            <w:r w:rsidRPr="00A43922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20</w:t>
            </w:r>
            <w:r w:rsidRPr="00A43922">
              <w:rPr>
                <w:rtl/>
              </w:rPr>
              <w:t>).</w:t>
            </w:r>
          </w:p>
        </w:tc>
      </w:tr>
    </w:tbl>
    <w:p w14:paraId="7F6961AE" w14:textId="77777777" w:rsidR="00E13C27" w:rsidRPr="000C307C" w:rsidRDefault="00E13C27" w:rsidP="0021633A">
      <w:pPr>
        <w:pStyle w:val="HeadDivreiHesber"/>
        <w:spacing w:before="0" w:after="0"/>
        <w:rPr>
          <w:rtl/>
        </w:rPr>
      </w:pPr>
    </w:p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07F14083" w14:textId="77777777" w:rsidR="000C307C" w:rsidRPr="000C6646" w:rsidRDefault="000C307C" w:rsidP="000C6646">
      <w:pPr>
        <w:pStyle w:val="Hesber"/>
      </w:pPr>
      <w:r w:rsidRPr="000C6646">
        <w:rPr>
          <w:rtl/>
        </w:rPr>
        <w:t xml:space="preserve">חוק הפיקדון על מכלי משקה, </w:t>
      </w:r>
      <w:proofErr w:type="spellStart"/>
      <w:r w:rsidRPr="000C6646">
        <w:rPr>
          <w:rtl/>
        </w:rPr>
        <w:t>התשנ"ט</w:t>
      </w:r>
      <w:proofErr w:type="spellEnd"/>
      <w:r w:rsidRPr="000C6646">
        <w:rPr>
          <w:rtl/>
        </w:rPr>
        <w:t xml:space="preserve">–1999 (להלן – החוק), נחל הצלחה רבה והביא להישגים משמעותיים וחסרי תקדים בכל הנוגע לאיסוף פסולת, הגברת </w:t>
      </w:r>
      <w:proofErr w:type="spellStart"/>
      <w:r w:rsidRPr="000C6646">
        <w:rPr>
          <w:rtl/>
        </w:rPr>
        <w:t>המיחזור</w:t>
      </w:r>
      <w:proofErr w:type="spellEnd"/>
      <w:r w:rsidRPr="000C6646">
        <w:rPr>
          <w:rtl/>
        </w:rPr>
        <w:t xml:space="preserve">, הגדלת מקורות תעסוקה, חיסכון באנרגיה והעלאת המודעות לשמירת הסביבה בישראל. </w:t>
      </w:r>
    </w:p>
    <w:p w14:paraId="4D44858E" w14:textId="77777777" w:rsidR="000C307C" w:rsidRPr="000C6646" w:rsidRDefault="000C307C" w:rsidP="000C6646">
      <w:pPr>
        <w:pStyle w:val="Hesber"/>
        <w:rPr>
          <w:rtl/>
        </w:rPr>
      </w:pPr>
      <w:r w:rsidRPr="000C6646">
        <w:rPr>
          <w:rtl/>
        </w:rPr>
        <w:t xml:space="preserve">בהתאם לנתוני תאגיד </w:t>
      </w:r>
      <w:proofErr w:type="spellStart"/>
      <w:r w:rsidRPr="000C6646">
        <w:rPr>
          <w:rtl/>
        </w:rPr>
        <w:t>המיחזור</w:t>
      </w:r>
      <w:proofErr w:type="spellEnd"/>
      <w:r w:rsidRPr="000C6646">
        <w:rPr>
          <w:rtl/>
        </w:rPr>
        <w:t xml:space="preserve"> </w:t>
      </w:r>
      <w:proofErr w:type="spellStart"/>
      <w:r w:rsidRPr="000C6646">
        <w:rPr>
          <w:rtl/>
        </w:rPr>
        <w:t>אל"ה</w:t>
      </w:r>
      <w:proofErr w:type="spellEnd"/>
      <w:r w:rsidRPr="000C6646">
        <w:rPr>
          <w:rtl/>
        </w:rPr>
        <w:t>, בשנת 201</w:t>
      </w:r>
      <w:r w:rsidRPr="000C6646">
        <w:rPr>
          <w:rFonts w:hint="cs"/>
          <w:rtl/>
        </w:rPr>
        <w:t>8</w:t>
      </w:r>
      <w:r w:rsidRPr="000C6646">
        <w:rPr>
          <w:rtl/>
        </w:rPr>
        <w:t xml:space="preserve"> נאספו והועברו </w:t>
      </w:r>
      <w:proofErr w:type="spellStart"/>
      <w:r w:rsidRPr="000C6646">
        <w:rPr>
          <w:rtl/>
        </w:rPr>
        <w:t>למיחזור</w:t>
      </w:r>
      <w:proofErr w:type="spellEnd"/>
      <w:r w:rsidRPr="000C6646">
        <w:rPr>
          <w:rtl/>
        </w:rPr>
        <w:t xml:space="preserve"> כ-</w:t>
      </w:r>
      <w:r w:rsidRPr="000C6646">
        <w:rPr>
          <w:rFonts w:hint="cs"/>
          <w:rtl/>
        </w:rPr>
        <w:t>770</w:t>
      </w:r>
      <w:r w:rsidRPr="000C6646">
        <w:rPr>
          <w:rtl/>
        </w:rPr>
        <w:t xml:space="preserve"> מיליון מכלי משקה קטנים ריקים המהווים כ-79 </w:t>
      </w:r>
      <w:r w:rsidRPr="000C6646">
        <w:rPr>
          <w:rFonts w:hint="eastAsia"/>
          <w:rtl/>
        </w:rPr>
        <w:t>אחוזים</w:t>
      </w:r>
      <w:r w:rsidRPr="000C6646">
        <w:rPr>
          <w:rtl/>
        </w:rPr>
        <w:t xml:space="preserve"> מסך מכלי המשקה הקטנים שנמכרו בתקופה זו. </w:t>
      </w:r>
    </w:p>
    <w:p w14:paraId="58C4799E" w14:textId="77777777" w:rsidR="000C307C" w:rsidRPr="000C6646" w:rsidRDefault="000C307C" w:rsidP="000C6646">
      <w:pPr>
        <w:pStyle w:val="Hesber"/>
        <w:rPr>
          <w:rtl/>
        </w:rPr>
      </w:pPr>
      <w:r w:rsidRPr="000C6646">
        <w:rPr>
          <w:rtl/>
        </w:rPr>
        <w:t xml:space="preserve">שיטת הפיקדון הוחלה מכוח החוק אך ורק על מכלי משקה קטנים בקיבולת של פחות מ-1.5 ליטר. לגבי מכלי משקה גדולים בקיבולת של 1.5 ליטר ומעלה, קובע החוק כי החל משנת 2016 יחול איסוף וולונטרי של מכלים אלה בשיעור שנתי של 55 </w:t>
      </w:r>
      <w:r w:rsidRPr="000C6646">
        <w:rPr>
          <w:rFonts w:hint="eastAsia"/>
          <w:rtl/>
        </w:rPr>
        <w:t>אחוזים</w:t>
      </w:r>
      <w:r w:rsidRPr="000C6646">
        <w:rPr>
          <w:rtl/>
        </w:rPr>
        <w:t xml:space="preserve"> בלבד. יעד איסוף זה נמוך משמעותית מיעד האיסוף ומהאיסוף בפועל של מכלי משקה קטנים העומד כיום על קרוב ל-80 </w:t>
      </w:r>
      <w:r w:rsidRPr="000C6646">
        <w:rPr>
          <w:rFonts w:hint="eastAsia"/>
          <w:rtl/>
        </w:rPr>
        <w:t>אחוזים</w:t>
      </w:r>
      <w:r w:rsidRPr="000C6646">
        <w:rPr>
          <w:rtl/>
        </w:rPr>
        <w:t xml:space="preserve"> מהמכלים הקטנים. </w:t>
      </w:r>
      <w:r w:rsidRPr="000C6646">
        <w:rPr>
          <w:rtl/>
        </w:rPr>
        <w:lastRenderedPageBreak/>
        <w:t xml:space="preserve">גם הניסיון הבינלאומי מלמד כי איסוף וולונטרי אינו מביא לתוצאות דומות לאלה של שיטת הפיקדון.  </w:t>
      </w:r>
    </w:p>
    <w:p w14:paraId="047A84DC" w14:textId="77777777" w:rsidR="000C307C" w:rsidRPr="000C6646" w:rsidRDefault="000C307C" w:rsidP="000C6646">
      <w:pPr>
        <w:pStyle w:val="Hesber"/>
        <w:rPr>
          <w:rtl/>
        </w:rPr>
      </w:pPr>
      <w:r w:rsidRPr="000C6646">
        <w:rPr>
          <w:rtl/>
        </w:rPr>
        <w:t xml:space="preserve">לפיכך מוצע להרחיב את תחולת החוק ולהחילו לאלתר על כל מכלי המשקה בקיבולת של עד 5 ליטר, ללא הבחנה בין מכלי משקה קטנים לבין מכלי משקה גדולים, ותוך קביעת יעדי </w:t>
      </w:r>
      <w:proofErr w:type="spellStart"/>
      <w:r w:rsidRPr="000C6646">
        <w:rPr>
          <w:rtl/>
        </w:rPr>
        <w:t>מיחזור</w:t>
      </w:r>
      <w:proofErr w:type="spellEnd"/>
      <w:r w:rsidRPr="000C6646">
        <w:rPr>
          <w:rtl/>
        </w:rPr>
        <w:t xml:space="preserve"> גבוהים גם לעניין מכלי משקל גדולים ריקים. זאת, בדומה לנעשה במדינות רבות בעולם, בה</w:t>
      </w:r>
      <w:r w:rsidRPr="000C6646">
        <w:rPr>
          <w:rFonts w:hint="eastAsia"/>
          <w:rtl/>
        </w:rPr>
        <w:t>ן</w:t>
      </w:r>
      <w:r w:rsidRPr="000C6646">
        <w:rPr>
          <w:rtl/>
        </w:rPr>
        <w:t xml:space="preserve"> מדינות סקנדינביה, אוסטרליה, גרמניה, בריטניה, דרום אפריקה, קנדה וחלק ממדינות ארצות הברית.</w:t>
      </w:r>
    </w:p>
    <w:p w14:paraId="6B4792F5" w14:textId="77777777" w:rsidR="000C307C" w:rsidRPr="000C6646" w:rsidRDefault="000C307C" w:rsidP="00330C36">
      <w:pPr>
        <w:pStyle w:val="Hesber"/>
        <w:rPr>
          <w:rtl/>
        </w:rPr>
      </w:pPr>
      <w:r w:rsidRPr="000C6646">
        <w:rPr>
          <w:rFonts w:hint="eastAsia"/>
          <w:rtl/>
        </w:rPr>
        <w:t>בסעיף</w:t>
      </w:r>
      <w:r w:rsidRPr="000C6646">
        <w:rPr>
          <w:rtl/>
        </w:rPr>
        <w:t xml:space="preserve"> 1 להצעת החוק מוצע לתקן את ההגדרה "מכל משקה", כך שתכלול גם מכלי משקה בקיבולת של 1.5 ליטר או יותר ועד 5 ליטר, אשר אינם נכללים בהגדרה כנוסחה כיום. </w:t>
      </w:r>
      <w:r w:rsidRPr="000C6646">
        <w:rPr>
          <w:rFonts w:hint="eastAsia"/>
          <w:rtl/>
        </w:rPr>
        <w:t>תיקון</w:t>
      </w:r>
      <w:r w:rsidRPr="000C6646">
        <w:rPr>
          <w:rtl/>
        </w:rPr>
        <w:t xml:space="preserve"> זה יביא להרחבת תחולתן של הוראות החוק ולהטלת פיקדון על כל מכלי המשקה הנצרכים בישראל. </w:t>
      </w:r>
    </w:p>
    <w:p w14:paraId="33DDB332" w14:textId="167BC472" w:rsidR="000C307C" w:rsidRPr="000C6646" w:rsidRDefault="000C307C" w:rsidP="00254C80">
      <w:pPr>
        <w:pStyle w:val="Hesber"/>
        <w:rPr>
          <w:rtl/>
        </w:rPr>
      </w:pPr>
      <w:r w:rsidRPr="000C6646">
        <w:rPr>
          <w:rFonts w:hint="eastAsia"/>
          <w:rtl/>
        </w:rPr>
        <w:t>כמו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כן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מוצע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לתקן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את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סעיף</w:t>
      </w:r>
      <w:r w:rsidRPr="000C6646">
        <w:rPr>
          <w:rtl/>
        </w:rPr>
        <w:t xml:space="preserve"> 2(ב) </w:t>
      </w:r>
      <w:r w:rsidRPr="000C6646">
        <w:rPr>
          <w:rFonts w:hint="eastAsia"/>
          <w:rtl/>
        </w:rPr>
        <w:t>לחוק</w:t>
      </w:r>
      <w:r w:rsidRPr="000C6646">
        <w:rPr>
          <w:rtl/>
        </w:rPr>
        <w:t xml:space="preserve">. </w:t>
      </w:r>
      <w:r w:rsidRPr="000C6646">
        <w:rPr>
          <w:rFonts w:hint="eastAsia"/>
          <w:rtl/>
        </w:rPr>
        <w:t>כיום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הסעיף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קובע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כי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סכום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הפיקדון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עבור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משקה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שהם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קטנים</w:t>
      </w:r>
      <w:r w:rsidRPr="000C6646">
        <w:rPr>
          <w:rtl/>
        </w:rPr>
        <w:t xml:space="preserve"> בלבד, עומד על סך של 30 אגורות. </w:t>
      </w:r>
      <w:r w:rsidRPr="000C6646">
        <w:rPr>
          <w:rFonts w:hint="eastAsia"/>
          <w:rtl/>
        </w:rPr>
        <w:t>מוצע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לקבוע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דמי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פיקדון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עבור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גדולים</w:t>
      </w:r>
      <w:r w:rsidRPr="000C6646">
        <w:rPr>
          <w:rtl/>
        </w:rPr>
        <w:t xml:space="preserve">, בסך של 50 אגורות. </w:t>
      </w:r>
      <w:r w:rsidRPr="000C6646">
        <w:rPr>
          <w:rFonts w:hint="eastAsia"/>
          <w:rtl/>
        </w:rPr>
        <w:t>סכום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הפיקדון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הגבוה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יותר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שייגבה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עבור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גדולים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נובע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מהעלויות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הכרוכות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באיסוף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טיפול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מיון</w:t>
      </w:r>
      <w:r w:rsidRPr="000C6646">
        <w:rPr>
          <w:rtl/>
        </w:rPr>
        <w:t xml:space="preserve"> </w:t>
      </w:r>
      <w:proofErr w:type="spellStart"/>
      <w:r w:rsidRPr="000C6646">
        <w:rPr>
          <w:rFonts w:hint="eastAsia"/>
          <w:rtl/>
        </w:rPr>
        <w:t>ומיחזור</w:t>
      </w:r>
      <w:proofErr w:type="spellEnd"/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גדולים</w:t>
      </w:r>
      <w:r w:rsidRPr="000C6646">
        <w:rPr>
          <w:rtl/>
        </w:rPr>
        <w:t xml:space="preserve">, והן נוכח הרגלי הצריכה של מכלי המשקה הגדולים. </w:t>
      </w:r>
      <w:r w:rsidRPr="000C6646">
        <w:rPr>
          <w:rFonts w:hint="eastAsia"/>
          <w:rtl/>
        </w:rPr>
        <w:t>בעוד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שמרבית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הקטנים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נצרכים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ברשות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הרבים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הגדולים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נצרכים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בעיקרם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במשקי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הבית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ולכן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קיים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צורך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ביצירת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תמריץ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כלכלי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משמעותי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לצורך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השתתפות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הציבור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באיסוף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והשבתם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באופן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אקטיבי</w:t>
      </w:r>
      <w:r w:rsidRPr="000C6646">
        <w:rPr>
          <w:rtl/>
        </w:rPr>
        <w:t>.</w:t>
      </w:r>
    </w:p>
    <w:p w14:paraId="5B30581C" w14:textId="77777777" w:rsidR="000C307C" w:rsidRPr="000C6646" w:rsidRDefault="000C307C" w:rsidP="00330C36">
      <w:pPr>
        <w:pStyle w:val="Hesber"/>
        <w:rPr>
          <w:rtl/>
        </w:rPr>
      </w:pPr>
      <w:r w:rsidRPr="000C6646">
        <w:rPr>
          <w:rFonts w:hint="eastAsia"/>
          <w:rtl/>
        </w:rPr>
        <w:t>בנוסף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כיום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סעיף</w:t>
      </w:r>
      <w:r w:rsidRPr="000C6646">
        <w:rPr>
          <w:rtl/>
        </w:rPr>
        <w:t xml:space="preserve"> 6(ג) לחוק קובע כי בית עסק </w:t>
      </w:r>
      <w:r w:rsidRPr="000C6646">
        <w:rPr>
          <w:rFonts w:hint="eastAsia"/>
          <w:rtl/>
        </w:rPr>
        <w:t>אינו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חייב</w:t>
      </w:r>
      <w:r w:rsidRPr="000C6646">
        <w:rPr>
          <w:rtl/>
        </w:rPr>
        <w:t xml:space="preserve"> לקבל מאותו צרכן יותר מ-50 מכלי משקה קטנים ריקים ביום. </w:t>
      </w:r>
      <w:r w:rsidRPr="000C6646">
        <w:rPr>
          <w:rFonts w:hint="eastAsia"/>
          <w:rtl/>
        </w:rPr>
        <w:t>בהתאם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מוצע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לקבוע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כי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בית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עסק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לא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יהיה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חייב</w:t>
      </w:r>
      <w:r w:rsidRPr="000C6646">
        <w:rPr>
          <w:rtl/>
        </w:rPr>
        <w:t xml:space="preserve"> לקבל מצרכן יותר מ-20 מכלי משקה גדולים, וזאת נוכח שטח אחסון </w:t>
      </w:r>
      <w:r w:rsidRPr="000C6646">
        <w:rPr>
          <w:rFonts w:hint="eastAsia"/>
          <w:rtl/>
        </w:rPr>
        <w:t>גדול</w:t>
      </w:r>
      <w:r w:rsidRPr="000C6646">
        <w:rPr>
          <w:rtl/>
        </w:rPr>
        <w:t xml:space="preserve"> יותר שדרוש עבור מכלי משקה אלה.</w:t>
      </w:r>
    </w:p>
    <w:p w14:paraId="7F6961CB" w14:textId="2EF4C75F" w:rsidR="00E13C27" w:rsidRDefault="000C307C" w:rsidP="00330C36">
      <w:pPr>
        <w:pStyle w:val="Hesber"/>
        <w:rPr>
          <w:rtl/>
        </w:rPr>
      </w:pPr>
      <w:r w:rsidRPr="000C6646">
        <w:rPr>
          <w:rFonts w:hint="eastAsia"/>
          <w:rtl/>
        </w:rPr>
        <w:t>כמו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כן</w:t>
      </w:r>
      <w:r w:rsidRPr="000C6646">
        <w:rPr>
          <w:rtl/>
        </w:rPr>
        <w:t xml:space="preserve">, סעיף 7א(א) לחוק בנוסחו כיום קובע כי יצרן ויבואן יאספו מכלי משקה קטנים ריקים בשיעור שנתי ממוצע </w:t>
      </w:r>
      <w:r w:rsidRPr="000C6646">
        <w:rPr>
          <w:rFonts w:hint="eastAsia"/>
          <w:rtl/>
        </w:rPr>
        <w:t>מסך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מכלי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המשקה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המלאים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ששיווקו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בכל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תקופה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של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שנתיים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שלא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יפחת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</w:t>
      </w:r>
      <w:r w:rsidRPr="000C6646">
        <w:rPr>
          <w:rtl/>
        </w:rPr>
        <w:t xml:space="preserve">-77 </w:t>
      </w:r>
      <w:r w:rsidRPr="000C6646">
        <w:rPr>
          <w:rFonts w:hint="eastAsia"/>
          <w:rtl/>
        </w:rPr>
        <w:t>אחוזים</w:t>
      </w:r>
      <w:r w:rsidRPr="000C6646">
        <w:rPr>
          <w:rtl/>
        </w:rPr>
        <w:t xml:space="preserve">. לעומת זאת, לפי סעיף 7ה לחוק נקבע כי יצרן ויבואן יאספו, בכל שנה, מכלי משקה גדולים ריקים בשיעור שלא יפחת מ-55 אחוזים מסך מכלי המשקה הגדולים המלאים ששיווקו באותה שנה. אם כן, יעד האיסוף שנקבע לעניין מכלי משקה גדולים נמוך באופן משמעותי מהיעד שנקבע עבור מכלי משקה קטנים ריקים. </w:t>
      </w:r>
      <w:r w:rsidRPr="000C6646">
        <w:rPr>
          <w:rFonts w:hint="eastAsia"/>
          <w:rtl/>
        </w:rPr>
        <w:t>לפיכך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מוצע</w:t>
      </w:r>
      <w:r w:rsidRPr="000C6646">
        <w:rPr>
          <w:rtl/>
        </w:rPr>
        <w:t xml:space="preserve"> למחוק את סעיפים 7ה ו-7ו </w:t>
      </w:r>
      <w:r w:rsidR="00F351D2">
        <w:rPr>
          <w:rFonts w:hint="cs"/>
          <w:rtl/>
        </w:rPr>
        <w:t xml:space="preserve">לחוק </w:t>
      </w:r>
      <w:r w:rsidRPr="000C6646">
        <w:rPr>
          <w:rtl/>
        </w:rPr>
        <w:t xml:space="preserve">המסדירים את יעדי האיסוף ביחס למכלי משקה גדולים ריקים, </w:t>
      </w:r>
      <w:r w:rsidRPr="000C6646">
        <w:rPr>
          <w:rFonts w:hint="eastAsia"/>
          <w:rtl/>
        </w:rPr>
        <w:t>ולקבוע</w:t>
      </w:r>
      <w:r w:rsidRPr="000C6646">
        <w:rPr>
          <w:rtl/>
        </w:rPr>
        <w:t xml:space="preserve"> בסעיף המסדיר את יעדי האיסוף של מכלי משקה קטנים ריקים, גם </w:t>
      </w:r>
      <w:r w:rsidRPr="000C6646">
        <w:rPr>
          <w:rFonts w:hint="eastAsia"/>
          <w:rtl/>
        </w:rPr>
        <w:t>יעדי</w:t>
      </w:r>
      <w:r w:rsidRPr="000C6646">
        <w:rPr>
          <w:rtl/>
        </w:rPr>
        <w:t xml:space="preserve"> איסוף גבוהים ביחס למכלי המשקה הגדולים הריקים, וכן לקבוע </w:t>
      </w:r>
      <w:r w:rsidRPr="000C6646">
        <w:rPr>
          <w:rFonts w:hint="eastAsia"/>
          <w:rtl/>
        </w:rPr>
        <w:t>יעדי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איסוף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שנתיים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ורב</w:t>
      </w:r>
      <w:r w:rsidRPr="000C6646">
        <w:rPr>
          <w:rtl/>
        </w:rPr>
        <w:t>-</w:t>
      </w:r>
      <w:r w:rsidRPr="000C6646">
        <w:rPr>
          <w:rFonts w:hint="eastAsia"/>
          <w:rtl/>
        </w:rPr>
        <w:t>שנתיים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על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מנת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לאפשר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ליצרנים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וליבואנים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תמרון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וגמישות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כך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שיצרן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או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יבואן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שלא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עמד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ביעדים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בשנה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אחת</w:t>
      </w:r>
      <w:r w:rsidRPr="000C6646">
        <w:rPr>
          <w:rtl/>
        </w:rPr>
        <w:t xml:space="preserve">, </w:t>
      </w:r>
      <w:r w:rsidRPr="000C6646">
        <w:rPr>
          <w:rFonts w:hint="eastAsia"/>
          <w:rtl/>
        </w:rPr>
        <w:t>יוכל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לעמוד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ביעד</w:t>
      </w:r>
      <w:r w:rsidRPr="000C6646">
        <w:rPr>
          <w:rtl/>
        </w:rPr>
        <w:t xml:space="preserve"> </w:t>
      </w:r>
      <w:r w:rsidRPr="000C6646">
        <w:rPr>
          <w:rFonts w:hint="eastAsia"/>
          <w:rtl/>
        </w:rPr>
        <w:t>הממוצע</w:t>
      </w:r>
      <w:r w:rsidRPr="000C6646">
        <w:rPr>
          <w:rtl/>
        </w:rPr>
        <w:t>.</w:t>
      </w:r>
    </w:p>
    <w:p w14:paraId="647882D4" w14:textId="77777777" w:rsidR="001E215F" w:rsidRDefault="001E215F" w:rsidP="00330C36">
      <w:pPr>
        <w:pStyle w:val="Hesber"/>
        <w:rPr>
          <w:rtl/>
        </w:rPr>
      </w:pPr>
    </w:p>
    <w:p w14:paraId="7774016B" w14:textId="77777777" w:rsidR="001E215F" w:rsidRPr="00D73212" w:rsidRDefault="001E215F" w:rsidP="001E215F">
      <w:pPr>
        <w:pStyle w:val="Hesber"/>
        <w:rPr>
          <w:rtl/>
        </w:rPr>
      </w:pPr>
      <w:r w:rsidRPr="00D73212">
        <w:rPr>
          <w:rtl/>
        </w:rPr>
        <w:t>---------------------------------</w:t>
      </w:r>
    </w:p>
    <w:p w14:paraId="38676506" w14:textId="77777777" w:rsidR="001E215F" w:rsidRPr="00D73212" w:rsidRDefault="001E215F" w:rsidP="001E215F">
      <w:pPr>
        <w:pStyle w:val="Hesber"/>
        <w:rPr>
          <w:rtl/>
        </w:rPr>
      </w:pPr>
      <w:r w:rsidRPr="00D73212">
        <w:rPr>
          <w:rFonts w:hint="cs"/>
          <w:rtl/>
        </w:rPr>
        <w:t>הוגשה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ליו</w:t>
      </w:r>
      <w:r w:rsidRPr="00D73212">
        <w:rPr>
          <w:rtl/>
        </w:rPr>
        <w:t>"</w:t>
      </w:r>
      <w:r w:rsidRPr="00D73212">
        <w:rPr>
          <w:rFonts w:hint="cs"/>
          <w:rtl/>
        </w:rPr>
        <w:t>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והסגנים</w:t>
      </w:r>
    </w:p>
    <w:p w14:paraId="719B7A75" w14:textId="77777777" w:rsidR="001E215F" w:rsidRPr="00D73212" w:rsidRDefault="001E215F" w:rsidP="001E215F">
      <w:pPr>
        <w:pStyle w:val="Hesber"/>
        <w:rPr>
          <w:rtl/>
        </w:rPr>
      </w:pPr>
      <w:r w:rsidRPr="00D73212">
        <w:rPr>
          <w:rFonts w:hint="cs"/>
          <w:rtl/>
        </w:rPr>
        <w:t>והונחה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על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שולחן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ביום</w:t>
      </w:r>
    </w:p>
    <w:p w14:paraId="74B5CE31" w14:textId="77777777" w:rsidR="001E215F" w:rsidRPr="00317312" w:rsidRDefault="001E215F" w:rsidP="001E215F">
      <w:pPr>
        <w:pStyle w:val="Hesber"/>
      </w:pPr>
      <w:r>
        <w:rPr>
          <w:rFonts w:hint="cs"/>
          <w:rtl/>
        </w:rPr>
        <w:t>ו' בחשוון</w:t>
      </w:r>
      <w:r w:rsidRPr="00D73212">
        <w:rPr>
          <w:rtl/>
        </w:rPr>
        <w:t xml:space="preserve">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 </w:t>
      </w:r>
      <w:r w:rsidRPr="00D73212">
        <w:rPr>
          <w:rtl/>
        </w:rPr>
        <w:t>–</w:t>
      </w:r>
      <w:r>
        <w:rPr>
          <w:rFonts w:hint="cs"/>
          <w:rtl/>
        </w:rPr>
        <w:t xml:space="preserve"> 4.11</w:t>
      </w:r>
      <w:r w:rsidRPr="00D73212">
        <w:rPr>
          <w:rtl/>
        </w:rPr>
        <w:t>.</w:t>
      </w:r>
      <w:r>
        <w:rPr>
          <w:rFonts w:hint="cs"/>
          <w:rtl/>
        </w:rPr>
        <w:t xml:space="preserve">19  </w:t>
      </w:r>
    </w:p>
    <w:p w14:paraId="7E3FFA58" w14:textId="77777777" w:rsidR="001E215F" w:rsidRPr="000C6646" w:rsidRDefault="001E215F" w:rsidP="00330C36">
      <w:pPr>
        <w:pStyle w:val="Hesber"/>
        <w:rPr>
          <w:rtl/>
        </w:rPr>
      </w:pPr>
    </w:p>
    <w:sectPr w:rsidR="001E215F" w:rsidRPr="000C6646" w:rsidSect="00E973CF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005846">
      <w:rPr>
        <w:rStyle w:val="aa"/>
        <w:noProof/>
        <w:rtl/>
      </w:rPr>
      <w:t>4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E973CF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5EBB1A1E" w14:textId="77777777" w:rsidR="000C307C" w:rsidRDefault="000C307C" w:rsidP="000C307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התשנ"ט</w:t>
      </w:r>
      <w:proofErr w:type="spellEnd"/>
      <w:r>
        <w:rPr>
          <w:rFonts w:hint="cs"/>
          <w:rtl/>
        </w:rPr>
        <w:t>, עמ' 170.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5846"/>
    <w:rsid w:val="00015B27"/>
    <w:rsid w:val="00063A3E"/>
    <w:rsid w:val="00072CAC"/>
    <w:rsid w:val="0007681A"/>
    <w:rsid w:val="000A542E"/>
    <w:rsid w:val="000C307C"/>
    <w:rsid w:val="000C6646"/>
    <w:rsid w:val="000F4FB2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1E215F"/>
    <w:rsid w:val="001F6627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54C80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30C36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59C2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95E6E"/>
    <w:rsid w:val="00CE41F0"/>
    <w:rsid w:val="00CF1AA2"/>
    <w:rsid w:val="00D142D3"/>
    <w:rsid w:val="00D17774"/>
    <w:rsid w:val="00D63620"/>
    <w:rsid w:val="00D8410D"/>
    <w:rsid w:val="00D867D7"/>
    <w:rsid w:val="00DB7060"/>
    <w:rsid w:val="00DE3153"/>
    <w:rsid w:val="00E02931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973CF"/>
    <w:rsid w:val="00EA01E6"/>
    <w:rsid w:val="00EA3DE8"/>
    <w:rsid w:val="00EA758F"/>
    <w:rsid w:val="00ED4A6F"/>
    <w:rsid w:val="00EF3A3A"/>
    <w:rsid w:val="00F351D2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B740E21F-58A3-4497-83EB-78599258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CF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3CF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E973CF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E973CF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E973CF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973CF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E973CF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E973CF"/>
    <w:rPr>
      <w:sz w:val="36"/>
      <w:szCs w:val="52"/>
    </w:rPr>
  </w:style>
  <w:style w:type="paragraph" w:customStyle="1" w:styleId="Cover3-Haknesset">
    <w:name w:val="Cover 3-Haknesset"/>
    <w:basedOn w:val="Cover1-Reshumot"/>
    <w:rsid w:val="00E973CF"/>
    <w:rPr>
      <w:b/>
      <w:bCs/>
      <w:spacing w:val="60"/>
    </w:rPr>
  </w:style>
  <w:style w:type="paragraph" w:customStyle="1" w:styleId="Cover4-Date">
    <w:name w:val="Cover 4-Date"/>
    <w:basedOn w:val="a"/>
    <w:rsid w:val="00E973C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E973CF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E973CF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E973C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E973CF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E973CF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E973CF"/>
    <w:pPr>
      <w:outlineLvl w:val="2"/>
    </w:pPr>
  </w:style>
  <w:style w:type="paragraph" w:customStyle="1" w:styleId="TableBlock">
    <w:name w:val="Table Block"/>
    <w:basedOn w:val="TableText"/>
    <w:rsid w:val="00E973CF"/>
    <w:pPr>
      <w:jc w:val="both"/>
    </w:pPr>
  </w:style>
  <w:style w:type="paragraph" w:customStyle="1" w:styleId="TableHead">
    <w:name w:val="Table Head"/>
    <w:basedOn w:val="TableText"/>
    <w:rsid w:val="00E973CF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E973CF"/>
    <w:pPr>
      <w:outlineLvl w:val="9"/>
    </w:pPr>
  </w:style>
  <w:style w:type="paragraph" w:customStyle="1" w:styleId="Hesber">
    <w:name w:val="Hesber"/>
    <w:basedOn w:val="a"/>
    <w:rsid w:val="00E973CF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E973CF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E973CF"/>
    <w:rPr>
      <w:vertAlign w:val="superscript"/>
    </w:rPr>
  </w:style>
  <w:style w:type="paragraph" w:customStyle="1" w:styleId="HesberHeading">
    <w:name w:val="Hesber Heading"/>
    <w:basedOn w:val="Hesber"/>
    <w:rsid w:val="00E973CF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E973CF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E973CF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E973CF"/>
    <w:rPr>
      <w:vertAlign w:val="superscript"/>
    </w:rPr>
  </w:style>
  <w:style w:type="paragraph" w:customStyle="1" w:styleId="TableBlockOutdent">
    <w:name w:val="Table BlockOutdent"/>
    <w:basedOn w:val="TableBlock"/>
    <w:rsid w:val="00E973CF"/>
    <w:pPr>
      <w:ind w:left="624" w:hanging="624"/>
    </w:pPr>
  </w:style>
  <w:style w:type="paragraph" w:styleId="a7">
    <w:name w:val="header"/>
    <w:basedOn w:val="a"/>
    <w:rsid w:val="00E973C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973CF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E973CF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E973CF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E973CF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E973CF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E973CF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E973CF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E973CF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E973CF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E973CF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E973CF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E973CF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E973CF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E973CF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E973CF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E973CF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E973CF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E973CF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E973CF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E973CF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E973CF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E973CF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E973CF"/>
    <w:rPr>
      <w:rFonts w:eastAsia="Times New Roman"/>
    </w:rPr>
  </w:style>
  <w:style w:type="paragraph" w:styleId="ae">
    <w:name w:val="List Paragraph"/>
    <w:basedOn w:val="a"/>
    <w:uiPriority w:val="34"/>
    <w:qFormat/>
    <w:rsid w:val="00E973CF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E9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E973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E973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E973CF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E973CF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A50981437779E428456932B2A638612" ma:contentTypeVersion="" ma:contentTypeDescription="צור מסמך חדש." ma:contentTypeScope="" ma:versionID="2df30a1b375d11bf545563b3a086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D11E-4C78-4856-A815-B1565486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D3BAD-BA74-4F2B-8BD4-28918167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17</cp:revision>
  <cp:lastPrinted>2013-07-04T08:25:00Z</cp:lastPrinted>
  <dcterms:created xsi:type="dcterms:W3CDTF">2015-04-20T09:58:00Z</dcterms:created>
  <dcterms:modified xsi:type="dcterms:W3CDTF">2019-10-29T15:43:00Z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0x0101003A50981437779E428456932B2A638612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2081448</vt:r8>
  </property>
</Properties>
</file>