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961A1" w14:textId="77777777" w:rsidR="002C2E29" w:rsidRPr="00E635A2" w:rsidRDefault="004033D8" w:rsidP="00E635A2">
      <w:pPr>
        <w:jc w:val="right"/>
        <w:rPr>
          <w:rFonts w:cs="David"/>
          <w:b/>
          <w:bCs/>
          <w:sz w:val="20"/>
          <w:szCs w:val="20"/>
        </w:rPr>
      </w:pPr>
      <w:r w:rsidRPr="00E635A2">
        <w:rPr>
          <w:rFonts w:cs="David" w:hint="cs"/>
          <w:sz w:val="20"/>
          <w:szCs w:val="20"/>
          <w:rtl/>
        </w:rPr>
        <w:t xml:space="preserve">מספר פנימי: </w:t>
      </w:r>
      <w:bookmarkStart w:id="0" w:name="LGS_Internal_ID"/>
      <w:r>
        <w:rPr>
          <w:rFonts w:cs="David" w:hint="cs"/>
          <w:sz w:val="20"/>
          <w:szCs w:val="20"/>
          <w:rtl/>
        </w:rPr>
        <w:t>2082201</w:t>
      </w:r>
      <w:bookmarkEnd w:id="0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>
        <w:rPr>
          <w:rFonts w:hint="cs"/>
          <w:sz w:val="28"/>
          <w:szCs w:val="28"/>
          <w:rtl/>
        </w:rPr>
        <w:t>העשרים ושתיים</w:t>
      </w:r>
      <w:bookmarkEnd w:id="1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6" w14:textId="77777777" w:rsidR="00E13C27" w:rsidRDefault="008F6665" w:rsidP="00930EFE">
      <w:pPr>
        <w:pStyle w:val="David"/>
        <w:spacing w:line="360" w:lineRule="auto"/>
        <w:ind w:left="3544"/>
        <w:rPr>
          <w:b/>
          <w:bCs/>
          <w:rtl/>
        </w:rPr>
      </w:pPr>
      <w:bookmarkStart w:id="2" w:name="LGS_Initiators_List"/>
      <w:r>
        <w:rPr>
          <w:b/>
          <w:bCs/>
          <w:rtl/>
        </w:rPr>
        <w:t>יוזמים:      חברי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 xml:space="preserve">אורי </w:t>
      </w:r>
      <w:proofErr w:type="spellStart"/>
      <w:r>
        <w:rPr>
          <w:rFonts w:hint="cs"/>
          <w:b/>
          <w:bCs/>
          <w:rtl/>
        </w:rPr>
        <w:t>מקלב</w:t>
      </w:r>
      <w:proofErr w:type="spellEnd"/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משה גפני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יעקב אשר</w:t>
      </w:r>
      <w:bookmarkEnd w:id="3"/>
    </w:p>
    <w:p w14:paraId="7F6961AA" w14:textId="39F9D96B" w:rsidR="00E13C27" w:rsidRPr="00CF1AA2" w:rsidRDefault="007D585A" w:rsidP="0036422C">
      <w:pPr>
        <w:pStyle w:val="David"/>
        <w:spacing w:before="0" w:line="360" w:lineRule="auto"/>
        <w:ind w:left="3544"/>
        <w:rPr>
          <w:b/>
          <w:bCs/>
          <w:sz w:val="16"/>
          <w:szCs w:val="16"/>
          <w:rtl/>
        </w:rPr>
      </w:pPr>
      <w:bookmarkStart w:id="4" w:name="LGS_Join_List"/>
      <w:r>
        <w:rPr>
          <w:rtl/>
        </w:rPr>
        <w:t xml:space="preserve"> </w:t>
      </w:r>
      <w:bookmarkEnd w:id="4"/>
      <w:r w:rsidR="002200A1" w:rsidRPr="00CF1AA2">
        <w:rPr>
          <w:rFonts w:hint="cs"/>
          <w:rtl/>
        </w:rPr>
        <w:tab/>
      </w:r>
      <w:bookmarkStart w:id="5" w:name="LGS_PM_NamesJoin"/>
      <w:r>
        <w:rPr>
          <w:rFonts w:hint="cs"/>
          <w:rtl/>
        </w:rPr>
        <w:t xml:space="preserve"> </w:t>
      </w:r>
      <w:bookmarkEnd w:id="5"/>
    </w:p>
    <w:p w14:paraId="34DB4103" w14:textId="77777777" w:rsidR="00904591" w:rsidRPr="00904591" w:rsidRDefault="00266D86" w:rsidP="0036422C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512DD667" w:rsidR="00E13C27" w:rsidRPr="00E06736" w:rsidRDefault="00904591" w:rsidP="00F55C3A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r w:rsidR="009270B0">
        <w:rPr>
          <w:rFonts w:hint="cs"/>
          <w:rtl/>
        </w:rPr>
        <w:t>פ/779/22</w:t>
      </w:r>
    </w:p>
    <w:p w14:paraId="7F6961AD" w14:textId="67564FC3" w:rsidR="00E13C27" w:rsidRPr="00F67051" w:rsidRDefault="00A443CF" w:rsidP="005751C3">
      <w:pPr>
        <w:pStyle w:val="HeadHatzaotHok"/>
        <w:rPr>
          <w:rtl/>
        </w:rPr>
      </w:pPr>
      <w:bookmarkStart w:id="6" w:name="LGS_Subject"/>
      <w:r>
        <w:rPr>
          <w:rFonts w:hint="cs"/>
          <w:rtl/>
        </w:rPr>
        <w:t xml:space="preserve">הצעת חוק הגנת הצרכן (תיקון – חובת סימון נפח האריזה וקביעת הנפח בשימוש), </w:t>
      </w:r>
      <w:proofErr w:type="spellStart"/>
      <w:r>
        <w:rPr>
          <w:rFonts w:hint="cs"/>
          <w:rtl/>
        </w:rPr>
        <w:t>התש"ף</w:t>
      </w:r>
      <w:proofErr w:type="spellEnd"/>
      <w:r>
        <w:rPr>
          <w:rFonts w:hint="cs"/>
          <w:rtl/>
        </w:rPr>
        <w:t>–2019</w:t>
      </w:r>
      <w:bookmarkEnd w:id="6"/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624"/>
        <w:gridCol w:w="624"/>
        <w:gridCol w:w="6522"/>
      </w:tblGrid>
      <w:tr w:rsidR="00F55C3A" w:rsidRPr="0076428A" w14:paraId="3615B3E4" w14:textId="77777777" w:rsidTr="005712E3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35E8A75" w14:textId="77777777" w:rsidR="00F55C3A" w:rsidRPr="0076428A" w:rsidRDefault="00F55C3A" w:rsidP="005712E3">
            <w:pPr>
              <w:pStyle w:val="TableSideHeading"/>
              <w:ind w:right="0"/>
            </w:pPr>
            <w:r w:rsidRPr="0076428A">
              <w:rPr>
                <w:rtl/>
              </w:rPr>
              <w:t>תיקון סעיף 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CF264E0" w14:textId="77777777" w:rsidR="00F55C3A" w:rsidRPr="0076428A" w:rsidRDefault="00F55C3A" w:rsidP="005712E3">
            <w:pPr>
              <w:pStyle w:val="TableText"/>
              <w:ind w:right="0"/>
              <w:jc w:val="both"/>
            </w:pPr>
            <w:r w:rsidRPr="0076428A">
              <w:rPr>
                <w:rtl/>
              </w:rPr>
              <w:t>1.</w:t>
            </w: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4ABF5" w14:textId="77777777" w:rsidR="00F55C3A" w:rsidRPr="0076428A" w:rsidRDefault="00F55C3A" w:rsidP="005712E3">
            <w:pPr>
              <w:pStyle w:val="TableBlock"/>
            </w:pPr>
            <w:r w:rsidRPr="0076428A">
              <w:rPr>
                <w:rtl/>
              </w:rPr>
              <w:t xml:space="preserve">בחוק הגנת הצרכן, </w:t>
            </w:r>
            <w:proofErr w:type="spellStart"/>
            <w:r w:rsidRPr="0076428A">
              <w:rPr>
                <w:rtl/>
              </w:rPr>
              <w:t>התשמ"א</w:t>
            </w:r>
            <w:proofErr w:type="spellEnd"/>
            <w:r w:rsidRPr="0076428A">
              <w:rPr>
                <w:rtl/>
              </w:rPr>
              <w:t>–1981</w:t>
            </w:r>
            <w:r w:rsidRPr="0076428A">
              <w:rPr>
                <w:sz w:val="12"/>
                <w:szCs w:val="18"/>
                <w:rtl/>
              </w:rPr>
              <w:footnoteReference w:id="2"/>
            </w:r>
            <w:r w:rsidRPr="0076428A">
              <w:rPr>
                <w:rtl/>
              </w:rPr>
              <w:t>, בסעיף 17</w:t>
            </w:r>
            <w:r w:rsidRPr="0076428A">
              <w:rPr>
                <w:rFonts w:hint="cs"/>
                <w:rtl/>
              </w:rPr>
              <w:t xml:space="preserve"> –</w:t>
            </w:r>
          </w:p>
        </w:tc>
      </w:tr>
      <w:tr w:rsidR="00F55C3A" w:rsidRPr="0076428A" w14:paraId="0EB913EB" w14:textId="77777777" w:rsidTr="005712E3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9A2FC27" w14:textId="77777777" w:rsidR="00F55C3A" w:rsidRPr="0076428A" w:rsidRDefault="00F55C3A" w:rsidP="005712E3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CB06B8F" w14:textId="77777777" w:rsidR="00F55C3A" w:rsidRPr="0076428A" w:rsidRDefault="00F55C3A" w:rsidP="005712E3">
            <w:pPr>
              <w:pStyle w:val="TableText"/>
              <w:ind w:right="0"/>
              <w:jc w:val="both"/>
              <w:rPr>
                <w:rtl/>
              </w:rPr>
            </w:pP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B55D9" w14:textId="77777777" w:rsidR="00F55C3A" w:rsidRPr="0076428A" w:rsidRDefault="00F55C3A" w:rsidP="005712E3">
            <w:pPr>
              <w:pStyle w:val="TableBlock"/>
              <w:rPr>
                <w:rtl/>
              </w:rPr>
            </w:pPr>
            <w:r w:rsidRPr="0076428A">
              <w:rPr>
                <w:rFonts w:hint="cs"/>
                <w:rtl/>
              </w:rPr>
              <w:t xml:space="preserve">(1) </w:t>
            </w:r>
            <w:r w:rsidRPr="0076428A">
              <w:rPr>
                <w:rtl/>
              </w:rPr>
              <w:tab/>
            </w:r>
            <w:r w:rsidRPr="0076428A">
              <w:rPr>
                <w:rFonts w:hint="cs"/>
                <w:rtl/>
              </w:rPr>
              <w:t>בסעיף קטן (א), בסופו יבוא:</w:t>
            </w:r>
          </w:p>
        </w:tc>
      </w:tr>
      <w:tr w:rsidR="00F55C3A" w14:paraId="4186DFA4" w14:textId="77777777" w:rsidTr="005712E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871" w:type="dxa"/>
          </w:tcPr>
          <w:p w14:paraId="6D3DC6AE" w14:textId="77777777" w:rsidR="00F55C3A" w:rsidRPr="0076428A" w:rsidRDefault="00F55C3A" w:rsidP="005712E3">
            <w:pPr>
              <w:pStyle w:val="TableSideHeading"/>
            </w:pPr>
          </w:p>
        </w:tc>
        <w:tc>
          <w:tcPr>
            <w:tcW w:w="624" w:type="dxa"/>
          </w:tcPr>
          <w:p w14:paraId="75FBF6C5" w14:textId="77777777" w:rsidR="00F55C3A" w:rsidRDefault="00F55C3A" w:rsidP="005712E3">
            <w:pPr>
              <w:pStyle w:val="TableText"/>
            </w:pPr>
          </w:p>
        </w:tc>
        <w:tc>
          <w:tcPr>
            <w:tcW w:w="624" w:type="dxa"/>
          </w:tcPr>
          <w:p w14:paraId="5E36E39E" w14:textId="77777777" w:rsidR="00F55C3A" w:rsidRDefault="00F55C3A" w:rsidP="005712E3">
            <w:pPr>
              <w:pStyle w:val="TableText"/>
            </w:pPr>
          </w:p>
        </w:tc>
        <w:tc>
          <w:tcPr>
            <w:tcW w:w="6522" w:type="dxa"/>
          </w:tcPr>
          <w:p w14:paraId="7AC70E92" w14:textId="77777777" w:rsidR="00F55C3A" w:rsidRDefault="00F55C3A" w:rsidP="005712E3">
            <w:pPr>
              <w:pStyle w:val="TableBlock"/>
            </w:pPr>
            <w:r w:rsidRPr="00845F2D">
              <w:rPr>
                <w:sz w:val="26"/>
                <w:rtl/>
              </w:rPr>
              <w:t>"(5)</w:t>
            </w:r>
            <w:r w:rsidRPr="00845F2D">
              <w:rPr>
                <w:sz w:val="26"/>
                <w:rtl/>
              </w:rPr>
              <w:tab/>
              <w:t xml:space="preserve">סימון נפח אריזת המצרך ונפח המצרך עצמו; </w:t>
            </w:r>
            <w:r w:rsidRPr="005751C3">
              <w:rPr>
                <w:sz w:val="26"/>
                <w:rtl/>
              </w:rPr>
              <w:t>נפח המצרך לא יפחת מ-85 אחוזים מנפח אריזת המצרך.</w:t>
            </w:r>
            <w:r>
              <w:rPr>
                <w:rFonts w:hint="cs"/>
                <w:sz w:val="26"/>
                <w:rtl/>
              </w:rPr>
              <w:t>"</w:t>
            </w:r>
            <w:r>
              <w:rPr>
                <w:rFonts w:hint="cs"/>
                <w:rtl/>
              </w:rPr>
              <w:t>;</w:t>
            </w:r>
          </w:p>
        </w:tc>
      </w:tr>
      <w:tr w:rsidR="00F55C3A" w:rsidRPr="0076428A" w14:paraId="1BDAD8D3" w14:textId="77777777" w:rsidTr="005712E3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E3E5FEE" w14:textId="77777777" w:rsidR="00F55C3A" w:rsidRPr="0076428A" w:rsidRDefault="00F55C3A" w:rsidP="005712E3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9F326FE" w14:textId="77777777" w:rsidR="00F55C3A" w:rsidRPr="00845F2D" w:rsidRDefault="00F55C3A" w:rsidP="005712E3">
            <w:pPr>
              <w:pStyle w:val="TableText"/>
              <w:rPr>
                <w:rtl/>
              </w:rPr>
            </w:pP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BD017" w14:textId="77777777" w:rsidR="00F55C3A" w:rsidRPr="0076428A" w:rsidRDefault="00F55C3A" w:rsidP="005712E3">
            <w:pPr>
              <w:pStyle w:val="TableBlock"/>
              <w:rPr>
                <w:rtl/>
              </w:rPr>
            </w:pPr>
            <w:r w:rsidRPr="0076428A">
              <w:rPr>
                <w:rFonts w:hint="cs"/>
                <w:rtl/>
              </w:rPr>
              <w:t>(2)</w:t>
            </w:r>
            <w:r w:rsidRPr="0076428A">
              <w:rPr>
                <w:rtl/>
              </w:rPr>
              <w:tab/>
            </w:r>
            <w:r w:rsidRPr="0076428A">
              <w:rPr>
                <w:rFonts w:hint="cs"/>
                <w:rtl/>
              </w:rPr>
              <w:t>אחרי סעיף קטן (א) יבוא:</w:t>
            </w:r>
          </w:p>
        </w:tc>
      </w:tr>
      <w:tr w:rsidR="00F55C3A" w14:paraId="02B0C482" w14:textId="77777777" w:rsidTr="005712E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871" w:type="dxa"/>
          </w:tcPr>
          <w:p w14:paraId="35BCE1A8" w14:textId="77777777" w:rsidR="00F55C3A" w:rsidRDefault="00F55C3A" w:rsidP="005712E3">
            <w:pPr>
              <w:pStyle w:val="TableSideHeading"/>
            </w:pPr>
          </w:p>
        </w:tc>
        <w:tc>
          <w:tcPr>
            <w:tcW w:w="624" w:type="dxa"/>
          </w:tcPr>
          <w:p w14:paraId="2A29BD0E" w14:textId="77777777" w:rsidR="00F55C3A" w:rsidRDefault="00F55C3A" w:rsidP="005712E3">
            <w:pPr>
              <w:pStyle w:val="TableText"/>
            </w:pPr>
          </w:p>
        </w:tc>
        <w:tc>
          <w:tcPr>
            <w:tcW w:w="624" w:type="dxa"/>
          </w:tcPr>
          <w:p w14:paraId="1E467F74" w14:textId="77777777" w:rsidR="00F55C3A" w:rsidRDefault="00F55C3A" w:rsidP="005712E3">
            <w:pPr>
              <w:pStyle w:val="TableText"/>
            </w:pPr>
          </w:p>
        </w:tc>
        <w:tc>
          <w:tcPr>
            <w:tcW w:w="6522" w:type="dxa"/>
          </w:tcPr>
          <w:p w14:paraId="119455EB" w14:textId="753EE033" w:rsidR="00F55C3A" w:rsidRDefault="00F55C3A" w:rsidP="00DA219E">
            <w:pPr>
              <w:pStyle w:val="TableBlock"/>
            </w:pPr>
            <w:r>
              <w:rPr>
                <w:rFonts w:hint="cs"/>
                <w:sz w:val="26"/>
                <w:rtl/>
              </w:rPr>
              <w:t>"</w:t>
            </w:r>
            <w:r w:rsidRPr="00845F2D">
              <w:rPr>
                <w:sz w:val="26"/>
                <w:rtl/>
              </w:rPr>
              <w:t>(</w:t>
            </w:r>
            <w:r w:rsidRPr="00845F2D">
              <w:rPr>
                <w:rFonts w:hint="cs"/>
                <w:sz w:val="26"/>
                <w:rtl/>
              </w:rPr>
              <w:t>א1</w:t>
            </w:r>
            <w:r w:rsidRPr="00845F2D">
              <w:rPr>
                <w:sz w:val="26"/>
                <w:rtl/>
              </w:rPr>
              <w:t>)</w:t>
            </w:r>
            <w:r w:rsidRPr="00845F2D">
              <w:rPr>
                <w:sz w:val="26"/>
                <w:rtl/>
              </w:rPr>
              <w:tab/>
              <w:t xml:space="preserve">השר, באישור ועדת הכלכלה של הכנסת, רשאי לקבוע סוגי עוסקים </w:t>
            </w:r>
            <w:r w:rsidRPr="0076428A">
              <w:rPr>
                <w:rFonts w:hint="cs"/>
                <w:sz w:val="26"/>
                <w:rtl/>
              </w:rPr>
              <w:t>או</w:t>
            </w:r>
            <w:r w:rsidRPr="00845F2D">
              <w:rPr>
                <w:rFonts w:hint="cs"/>
                <w:sz w:val="26"/>
                <w:rtl/>
              </w:rPr>
              <w:t xml:space="preserve"> </w:t>
            </w:r>
            <w:r w:rsidR="00DA219E">
              <w:rPr>
                <w:rFonts w:hint="cs"/>
                <w:sz w:val="26"/>
                <w:rtl/>
              </w:rPr>
              <w:t>מצרכים</w:t>
            </w:r>
            <w:r w:rsidR="00DA219E" w:rsidRPr="00845F2D">
              <w:rPr>
                <w:rFonts w:hint="cs"/>
                <w:sz w:val="26"/>
                <w:rtl/>
              </w:rPr>
              <w:t xml:space="preserve"> </w:t>
            </w:r>
            <w:r w:rsidRPr="00845F2D">
              <w:rPr>
                <w:sz w:val="26"/>
                <w:rtl/>
              </w:rPr>
              <w:t xml:space="preserve">שהוראות סעיף קטן </w:t>
            </w:r>
            <w:r>
              <w:rPr>
                <w:rFonts w:hint="cs"/>
                <w:sz w:val="26"/>
                <w:rtl/>
              </w:rPr>
              <w:t>(א)</w:t>
            </w:r>
            <w:r w:rsidRPr="00845F2D">
              <w:rPr>
                <w:sz w:val="26"/>
                <w:rtl/>
              </w:rPr>
              <w:t>(</w:t>
            </w:r>
            <w:r w:rsidRPr="00845F2D">
              <w:rPr>
                <w:rFonts w:hint="cs"/>
                <w:sz w:val="26"/>
                <w:rtl/>
              </w:rPr>
              <w:t>5</w:t>
            </w:r>
            <w:r w:rsidRPr="00845F2D">
              <w:rPr>
                <w:sz w:val="26"/>
                <w:rtl/>
              </w:rPr>
              <w:t>) לא יחולו עליהם."</w:t>
            </w:r>
            <w:r w:rsidDel="0076428A">
              <w:rPr>
                <w:rFonts w:hint="cs"/>
                <w:sz w:val="26"/>
                <w:rtl/>
              </w:rPr>
              <w:t xml:space="preserve"> </w:t>
            </w:r>
            <w:r>
              <w:rPr>
                <w:sz w:val="26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</w:p>
        </w:tc>
      </w:tr>
    </w:tbl>
    <w:p w14:paraId="526F622D" w14:textId="77777777" w:rsidR="00F55C3A" w:rsidRDefault="00F55C3A" w:rsidP="00F55C3A">
      <w:pPr>
        <w:pStyle w:val="HeadDivreiHesber"/>
        <w:spacing w:before="120"/>
        <w:rPr>
          <w:rtl/>
        </w:rPr>
      </w:pPr>
      <w:r w:rsidRPr="0027450A">
        <w:rPr>
          <w:rFonts w:hint="cs"/>
          <w:rtl/>
        </w:rPr>
        <w:t>דברי הסבר</w:t>
      </w:r>
    </w:p>
    <w:p w14:paraId="161645F9" w14:textId="096DF298" w:rsidR="00F55C3A" w:rsidRPr="00845F2D" w:rsidRDefault="00F55C3A" w:rsidP="009270B0">
      <w:pPr>
        <w:snapToGrid w:val="0"/>
        <w:spacing w:before="0" w:line="240" w:lineRule="auto"/>
        <w:rPr>
          <w:rFonts w:ascii="Arial" w:eastAsia="Arial Unicode MS" w:hAnsi="Arial" w:cs="David"/>
          <w:spacing w:val="0"/>
          <w:sz w:val="26"/>
          <w:szCs w:val="26"/>
          <w:rtl/>
        </w:rPr>
      </w:pPr>
      <w:r w:rsidRPr="00845F2D">
        <w:rPr>
          <w:rFonts w:ascii="Arial" w:eastAsia="Arial Unicode MS" w:hAnsi="Arial" w:cs="David"/>
          <w:spacing w:val="0"/>
          <w:sz w:val="26"/>
          <w:szCs w:val="26"/>
          <w:rtl/>
        </w:rPr>
        <w:t xml:space="preserve">עוסקים רבים המוכרים מוצרי מזון עושים </w:t>
      </w:r>
      <w:bookmarkStart w:id="7" w:name="_GoBack"/>
      <w:r w:rsidRPr="00845F2D">
        <w:rPr>
          <w:rFonts w:ascii="Arial" w:eastAsia="Arial Unicode MS" w:hAnsi="Arial" w:cs="David"/>
          <w:spacing w:val="0"/>
          <w:sz w:val="26"/>
          <w:szCs w:val="26"/>
          <w:rtl/>
        </w:rPr>
        <w:t>שימוש בגודל של אריזת המוצרים כדי ליצור מצג שווא בעיני הלקוח בכל הנוגע לתכולת המוצר</w:t>
      </w:r>
      <w:r>
        <w:rPr>
          <w:rFonts w:ascii="Arial" w:eastAsia="Arial Unicode MS" w:hAnsi="Arial" w:cs="David" w:hint="cs"/>
          <w:spacing w:val="0"/>
          <w:sz w:val="26"/>
          <w:szCs w:val="26"/>
          <w:rtl/>
        </w:rPr>
        <w:t>.</w:t>
      </w:r>
      <w:r w:rsidRPr="00845F2D">
        <w:rPr>
          <w:rFonts w:ascii="Arial" w:eastAsia="Arial Unicode MS" w:hAnsi="Arial" w:cs="David"/>
          <w:spacing w:val="0"/>
          <w:sz w:val="26"/>
          <w:szCs w:val="26"/>
          <w:rtl/>
        </w:rPr>
        <w:t xml:space="preserve"> זאת</w:t>
      </w:r>
      <w:r>
        <w:rPr>
          <w:rFonts w:ascii="Arial" w:eastAsia="Arial Unicode MS" w:hAnsi="Arial" w:cs="David" w:hint="cs"/>
          <w:spacing w:val="0"/>
          <w:sz w:val="26"/>
          <w:szCs w:val="26"/>
          <w:rtl/>
        </w:rPr>
        <w:t>,</w:t>
      </w:r>
      <w:r w:rsidRPr="00845F2D">
        <w:rPr>
          <w:rFonts w:ascii="Arial" w:eastAsia="Arial Unicode MS" w:hAnsi="Arial" w:cs="David"/>
          <w:spacing w:val="0"/>
          <w:sz w:val="26"/>
          <w:szCs w:val="26"/>
          <w:rtl/>
        </w:rPr>
        <w:t xml:space="preserve"> על ידי ניפוח האריזה </w:t>
      </w:r>
      <w:bookmarkEnd w:id="7"/>
      <w:r w:rsidRPr="00845F2D">
        <w:rPr>
          <w:rFonts w:ascii="Arial" w:eastAsia="Arial Unicode MS" w:hAnsi="Arial" w:cs="David"/>
          <w:spacing w:val="0"/>
          <w:sz w:val="26"/>
          <w:szCs w:val="26"/>
          <w:rtl/>
        </w:rPr>
        <w:t xml:space="preserve">באוויר או עיצובה כך שהצרכן </w:t>
      </w:r>
      <w:r w:rsidR="00F945E2">
        <w:rPr>
          <w:rFonts w:ascii="Arial" w:eastAsia="Arial Unicode MS" w:hAnsi="Arial" w:cs="David" w:hint="cs"/>
          <w:spacing w:val="0"/>
          <w:sz w:val="26"/>
          <w:szCs w:val="26"/>
          <w:rtl/>
        </w:rPr>
        <w:t>יתרשם ש</w:t>
      </w:r>
      <w:r w:rsidR="00E623FC">
        <w:rPr>
          <w:rFonts w:ascii="Arial" w:eastAsia="Arial Unicode MS" w:hAnsi="Arial" w:cs="David" w:hint="cs"/>
          <w:spacing w:val="0"/>
          <w:sz w:val="26"/>
          <w:szCs w:val="26"/>
          <w:rtl/>
        </w:rPr>
        <w:t xml:space="preserve">תכולתה גדולה מתכולתה של </w:t>
      </w:r>
      <w:r w:rsidRPr="00845F2D">
        <w:rPr>
          <w:rFonts w:ascii="Arial" w:eastAsia="Arial Unicode MS" w:hAnsi="Arial" w:cs="David"/>
          <w:spacing w:val="0"/>
          <w:sz w:val="26"/>
          <w:szCs w:val="26"/>
          <w:rtl/>
        </w:rPr>
        <w:t>אריז</w:t>
      </w:r>
      <w:r w:rsidR="00F945E2">
        <w:rPr>
          <w:rFonts w:ascii="Arial" w:eastAsia="Arial Unicode MS" w:hAnsi="Arial" w:cs="David" w:hint="cs"/>
          <w:spacing w:val="0"/>
          <w:sz w:val="26"/>
          <w:szCs w:val="26"/>
          <w:rtl/>
        </w:rPr>
        <w:t>ה</w:t>
      </w:r>
      <w:r w:rsidRPr="00845F2D">
        <w:rPr>
          <w:rFonts w:ascii="Arial" w:eastAsia="Arial Unicode MS" w:hAnsi="Arial" w:cs="David"/>
          <w:spacing w:val="0"/>
          <w:sz w:val="26"/>
          <w:szCs w:val="26"/>
          <w:rtl/>
        </w:rPr>
        <w:t xml:space="preserve"> צנועה יותר בממדיה, ו</w:t>
      </w:r>
      <w:r>
        <w:rPr>
          <w:rFonts w:ascii="Arial" w:eastAsia="Arial Unicode MS" w:hAnsi="Arial" w:cs="David" w:hint="cs"/>
          <w:spacing w:val="0"/>
          <w:sz w:val="26"/>
          <w:szCs w:val="26"/>
          <w:rtl/>
        </w:rPr>
        <w:t>ה</w:t>
      </w:r>
      <w:r w:rsidRPr="00845F2D">
        <w:rPr>
          <w:rFonts w:ascii="Arial" w:eastAsia="Arial Unicode MS" w:hAnsi="Arial" w:cs="David"/>
          <w:spacing w:val="0"/>
          <w:sz w:val="26"/>
          <w:szCs w:val="26"/>
          <w:rtl/>
        </w:rPr>
        <w:t xml:space="preserve">כל </w:t>
      </w:r>
      <w:r>
        <w:rPr>
          <w:rFonts w:ascii="Arial" w:eastAsia="Arial Unicode MS" w:hAnsi="Arial" w:cs="David" w:hint="cs"/>
          <w:spacing w:val="0"/>
          <w:sz w:val="26"/>
          <w:szCs w:val="26"/>
          <w:rtl/>
        </w:rPr>
        <w:t>על אף ש</w:t>
      </w:r>
      <w:r w:rsidR="00E623FC">
        <w:rPr>
          <w:rFonts w:ascii="Arial" w:eastAsia="Arial Unicode MS" w:hAnsi="Arial" w:cs="David" w:hint="cs"/>
          <w:spacing w:val="0"/>
          <w:sz w:val="26"/>
          <w:szCs w:val="26"/>
          <w:rtl/>
        </w:rPr>
        <w:t xml:space="preserve">שתי האריזות מכילות </w:t>
      </w:r>
      <w:r w:rsidRPr="00845F2D">
        <w:rPr>
          <w:rFonts w:ascii="Arial" w:eastAsia="Arial Unicode MS" w:hAnsi="Arial" w:cs="David"/>
          <w:spacing w:val="0"/>
          <w:sz w:val="26"/>
          <w:szCs w:val="26"/>
          <w:rtl/>
        </w:rPr>
        <w:t xml:space="preserve">משקל נקי </w:t>
      </w:r>
      <w:r w:rsidR="00E623FC">
        <w:rPr>
          <w:rFonts w:ascii="Arial" w:eastAsia="Arial Unicode MS" w:hAnsi="Arial" w:cs="David" w:hint="cs"/>
          <w:spacing w:val="0"/>
          <w:sz w:val="26"/>
          <w:szCs w:val="26"/>
          <w:rtl/>
        </w:rPr>
        <w:t xml:space="preserve">זהה </w:t>
      </w:r>
      <w:r w:rsidRPr="00845F2D">
        <w:rPr>
          <w:rFonts w:ascii="Arial" w:eastAsia="Arial Unicode MS" w:hAnsi="Arial" w:cs="David"/>
          <w:spacing w:val="0"/>
          <w:sz w:val="26"/>
          <w:szCs w:val="26"/>
          <w:rtl/>
        </w:rPr>
        <w:t xml:space="preserve">של </w:t>
      </w:r>
      <w:r w:rsidR="00E623FC">
        <w:rPr>
          <w:rFonts w:ascii="Arial" w:eastAsia="Arial Unicode MS" w:hAnsi="Arial" w:cs="David" w:hint="cs"/>
          <w:spacing w:val="0"/>
          <w:sz w:val="26"/>
          <w:szCs w:val="26"/>
          <w:rtl/>
        </w:rPr>
        <w:t xml:space="preserve">אותו </w:t>
      </w:r>
      <w:r w:rsidRPr="00845F2D">
        <w:rPr>
          <w:rFonts w:ascii="Arial" w:eastAsia="Arial Unicode MS" w:hAnsi="Arial" w:cs="David"/>
          <w:spacing w:val="0"/>
          <w:sz w:val="26"/>
          <w:szCs w:val="26"/>
          <w:rtl/>
        </w:rPr>
        <w:t>מוצר</w:t>
      </w:r>
      <w:r w:rsidR="00E623FC">
        <w:rPr>
          <w:rFonts w:ascii="Arial" w:eastAsia="Arial Unicode MS" w:hAnsi="Arial" w:cs="David" w:hint="cs"/>
          <w:spacing w:val="0"/>
          <w:sz w:val="26"/>
          <w:szCs w:val="26"/>
          <w:rtl/>
        </w:rPr>
        <w:t>.</w:t>
      </w:r>
    </w:p>
    <w:p w14:paraId="6F8721F8" w14:textId="2A667D2B" w:rsidR="00F55C3A" w:rsidRPr="00DA5DAD" w:rsidRDefault="00F55C3A" w:rsidP="009270B0">
      <w:pPr>
        <w:snapToGrid w:val="0"/>
        <w:spacing w:before="0" w:line="240" w:lineRule="auto"/>
        <w:rPr>
          <w:rFonts w:ascii="Arial" w:eastAsia="Arial Unicode MS" w:hAnsi="Arial" w:cs="David"/>
          <w:spacing w:val="0"/>
          <w:sz w:val="26"/>
          <w:szCs w:val="26"/>
          <w:rtl/>
        </w:rPr>
      </w:pPr>
      <w:r w:rsidRPr="00845F2D">
        <w:rPr>
          <w:rFonts w:ascii="Arial" w:eastAsia="Arial Unicode MS" w:hAnsi="Arial" w:cs="David"/>
          <w:spacing w:val="0"/>
          <w:sz w:val="26"/>
          <w:szCs w:val="26"/>
          <w:rtl/>
        </w:rPr>
        <w:t>על כן, במטרה ל</w:t>
      </w:r>
      <w:r>
        <w:rPr>
          <w:rFonts w:ascii="Arial" w:eastAsia="Arial Unicode MS" w:hAnsi="Arial" w:cs="David" w:hint="cs"/>
          <w:spacing w:val="0"/>
          <w:sz w:val="26"/>
          <w:szCs w:val="26"/>
          <w:rtl/>
        </w:rPr>
        <w:t xml:space="preserve">מנוע את הטעיית </w:t>
      </w:r>
      <w:r w:rsidRPr="00845F2D">
        <w:rPr>
          <w:rFonts w:ascii="Arial" w:eastAsia="Arial Unicode MS" w:hAnsi="Arial" w:cs="David"/>
          <w:spacing w:val="0"/>
          <w:sz w:val="26"/>
          <w:szCs w:val="26"/>
          <w:rtl/>
        </w:rPr>
        <w:t xml:space="preserve">הצרכנים, מוצע לתקן את חוק הגנת הצרכן, </w:t>
      </w:r>
      <w:proofErr w:type="spellStart"/>
      <w:r w:rsidRPr="00845F2D">
        <w:rPr>
          <w:rFonts w:ascii="Arial" w:eastAsia="Arial Unicode MS" w:hAnsi="Arial" w:cs="David"/>
          <w:spacing w:val="0"/>
          <w:sz w:val="26"/>
          <w:szCs w:val="26"/>
          <w:rtl/>
        </w:rPr>
        <w:t>התשמ"א</w:t>
      </w:r>
      <w:proofErr w:type="spellEnd"/>
      <w:r w:rsidRPr="00845F2D">
        <w:rPr>
          <w:rFonts w:ascii="Arial" w:eastAsia="Arial Unicode MS" w:hAnsi="Arial" w:cs="David"/>
          <w:spacing w:val="0"/>
          <w:sz w:val="26"/>
          <w:szCs w:val="26"/>
          <w:rtl/>
        </w:rPr>
        <w:t>–1981</w:t>
      </w:r>
      <w:r w:rsidR="00F945E2">
        <w:rPr>
          <w:rFonts w:ascii="Arial" w:eastAsia="Arial Unicode MS" w:hAnsi="Arial" w:cs="David" w:hint="cs"/>
          <w:spacing w:val="0"/>
          <w:sz w:val="26"/>
          <w:szCs w:val="26"/>
          <w:rtl/>
        </w:rPr>
        <w:t xml:space="preserve"> (להלן </w:t>
      </w:r>
      <w:r w:rsidR="00F945E2">
        <w:rPr>
          <w:rFonts w:ascii="Arial" w:eastAsia="Arial Unicode MS" w:hAnsi="Arial" w:cs="David"/>
          <w:spacing w:val="0"/>
          <w:sz w:val="26"/>
          <w:szCs w:val="26"/>
          <w:rtl/>
        </w:rPr>
        <w:t>–</w:t>
      </w:r>
      <w:r w:rsidR="00F945E2">
        <w:rPr>
          <w:rFonts w:ascii="Arial" w:eastAsia="Arial Unicode MS" w:hAnsi="Arial" w:cs="David" w:hint="cs"/>
          <w:spacing w:val="0"/>
          <w:sz w:val="26"/>
          <w:szCs w:val="26"/>
          <w:rtl/>
        </w:rPr>
        <w:t xml:space="preserve"> החוק)</w:t>
      </w:r>
      <w:r w:rsidRPr="00845F2D">
        <w:rPr>
          <w:rFonts w:ascii="Arial" w:eastAsia="Arial Unicode MS" w:hAnsi="Arial" w:cs="David"/>
          <w:spacing w:val="0"/>
          <w:sz w:val="26"/>
          <w:szCs w:val="26"/>
          <w:rtl/>
        </w:rPr>
        <w:t>, ולקבוע כי עוסקים יהיו חייבים לציין</w:t>
      </w:r>
      <w:r>
        <w:rPr>
          <w:rFonts w:ascii="Arial" w:eastAsia="Arial Unicode MS" w:hAnsi="Arial" w:cs="David" w:hint="cs"/>
          <w:spacing w:val="0"/>
          <w:sz w:val="26"/>
          <w:szCs w:val="26"/>
          <w:rtl/>
        </w:rPr>
        <w:t>, בנוסף ל</w:t>
      </w:r>
      <w:r w:rsidRPr="00845F2D">
        <w:rPr>
          <w:rFonts w:ascii="Arial" w:eastAsia="Arial Unicode MS" w:hAnsi="Arial" w:cs="David"/>
          <w:spacing w:val="0"/>
          <w:sz w:val="26"/>
          <w:szCs w:val="26"/>
          <w:rtl/>
        </w:rPr>
        <w:t xml:space="preserve">משקל הנקי של האריזה ומספר פרטים נוספים כמתחייב </w:t>
      </w:r>
      <w:r w:rsidR="00F945E2">
        <w:rPr>
          <w:rFonts w:ascii="Arial" w:eastAsia="Arial Unicode MS" w:hAnsi="Arial" w:cs="David" w:hint="cs"/>
          <w:spacing w:val="0"/>
          <w:sz w:val="26"/>
          <w:szCs w:val="26"/>
          <w:rtl/>
        </w:rPr>
        <w:t>לפי ה</w:t>
      </w:r>
      <w:r w:rsidRPr="00845F2D">
        <w:rPr>
          <w:rFonts w:ascii="Arial" w:eastAsia="Arial Unicode MS" w:hAnsi="Arial" w:cs="David"/>
          <w:spacing w:val="0"/>
          <w:sz w:val="26"/>
          <w:szCs w:val="26"/>
          <w:rtl/>
        </w:rPr>
        <w:t>חוק, את נפח אריזת המצרך ואת נפח המצרך בפועל. כך, יוכלו הצרכנים להשוות בין מוצרים שונים על פי משקלם ונפחם בפועל ולא על פי נפח האריזה שלעתים רבות הוא מטעה.</w:t>
      </w:r>
      <w:r>
        <w:rPr>
          <w:rFonts w:ascii="Arial" w:eastAsia="Arial Unicode MS" w:hAnsi="Arial" w:cs="David" w:hint="cs"/>
          <w:spacing w:val="0"/>
          <w:sz w:val="26"/>
          <w:szCs w:val="26"/>
          <w:rtl/>
        </w:rPr>
        <w:t xml:space="preserve"> </w:t>
      </w:r>
      <w:r w:rsidRPr="00845F2D">
        <w:rPr>
          <w:rFonts w:ascii="Arial" w:eastAsia="Arial Unicode MS" w:hAnsi="Arial" w:cs="David"/>
          <w:spacing w:val="0"/>
          <w:sz w:val="26"/>
          <w:szCs w:val="26"/>
          <w:rtl/>
        </w:rPr>
        <w:t>הצעת החוק</w:t>
      </w:r>
      <w:r>
        <w:rPr>
          <w:rFonts w:ascii="Arial" w:eastAsia="Arial Unicode MS" w:hAnsi="Arial" w:cs="David" w:hint="cs"/>
          <w:spacing w:val="0"/>
          <w:sz w:val="26"/>
          <w:szCs w:val="26"/>
          <w:rtl/>
        </w:rPr>
        <w:t xml:space="preserve"> תוביל לצמצום נפח האריזות</w:t>
      </w:r>
      <w:r w:rsidRPr="00845F2D">
        <w:rPr>
          <w:rFonts w:ascii="Arial" w:eastAsia="Arial Unicode MS" w:hAnsi="Arial" w:cs="David"/>
          <w:spacing w:val="0"/>
          <w:sz w:val="26"/>
          <w:szCs w:val="26"/>
          <w:rtl/>
        </w:rPr>
        <w:t xml:space="preserve"> </w:t>
      </w:r>
      <w:r w:rsidR="00F945E2">
        <w:rPr>
          <w:rFonts w:ascii="Arial" w:eastAsia="Arial Unicode MS" w:hAnsi="Arial" w:cs="David" w:hint="cs"/>
          <w:spacing w:val="0"/>
          <w:sz w:val="26"/>
          <w:szCs w:val="26"/>
          <w:rtl/>
        </w:rPr>
        <w:t>ו</w:t>
      </w:r>
      <w:r>
        <w:rPr>
          <w:rFonts w:ascii="Arial" w:eastAsia="Arial Unicode MS" w:hAnsi="Arial" w:cs="David" w:hint="cs"/>
          <w:spacing w:val="0"/>
          <w:sz w:val="26"/>
          <w:szCs w:val="26"/>
          <w:rtl/>
        </w:rPr>
        <w:t>ל</w:t>
      </w:r>
      <w:r w:rsidRPr="00845F2D">
        <w:rPr>
          <w:rFonts w:ascii="Arial" w:eastAsia="Arial Unicode MS" w:hAnsi="Arial" w:cs="David"/>
          <w:spacing w:val="0"/>
          <w:sz w:val="26"/>
          <w:szCs w:val="26"/>
          <w:rtl/>
        </w:rPr>
        <w:t>צמצ</w:t>
      </w:r>
      <w:r>
        <w:rPr>
          <w:rFonts w:ascii="Arial" w:eastAsia="Arial Unicode MS" w:hAnsi="Arial" w:cs="David" w:hint="cs"/>
          <w:spacing w:val="0"/>
          <w:sz w:val="26"/>
          <w:szCs w:val="26"/>
          <w:rtl/>
        </w:rPr>
        <w:t>ו</w:t>
      </w:r>
      <w:r w:rsidRPr="00845F2D">
        <w:rPr>
          <w:rFonts w:ascii="Arial" w:eastAsia="Arial Unicode MS" w:hAnsi="Arial" w:cs="David"/>
          <w:spacing w:val="0"/>
          <w:sz w:val="26"/>
          <w:szCs w:val="26"/>
          <w:rtl/>
        </w:rPr>
        <w:t>ם כמות הפסולת</w:t>
      </w:r>
      <w:r w:rsidR="00F945E2">
        <w:rPr>
          <w:rFonts w:ascii="Arial" w:eastAsia="Arial Unicode MS" w:hAnsi="Arial" w:cs="David" w:hint="cs"/>
          <w:spacing w:val="0"/>
          <w:sz w:val="26"/>
          <w:szCs w:val="26"/>
          <w:rtl/>
        </w:rPr>
        <w:t>,</w:t>
      </w:r>
      <w:r w:rsidRPr="00845F2D">
        <w:rPr>
          <w:rFonts w:ascii="Arial" w:eastAsia="Arial Unicode MS" w:hAnsi="Arial" w:cs="David"/>
          <w:spacing w:val="0"/>
          <w:sz w:val="26"/>
          <w:szCs w:val="26"/>
          <w:rtl/>
        </w:rPr>
        <w:t xml:space="preserve"> ו</w:t>
      </w:r>
      <w:r>
        <w:rPr>
          <w:rFonts w:ascii="Arial" w:eastAsia="Arial Unicode MS" w:hAnsi="Arial" w:cs="David" w:hint="cs"/>
          <w:spacing w:val="0"/>
          <w:sz w:val="26"/>
          <w:szCs w:val="26"/>
          <w:rtl/>
        </w:rPr>
        <w:t xml:space="preserve">תמנע </w:t>
      </w:r>
      <w:r w:rsidRPr="00845F2D">
        <w:rPr>
          <w:rFonts w:ascii="Arial" w:eastAsia="Arial Unicode MS" w:hAnsi="Arial" w:cs="David"/>
          <w:spacing w:val="0"/>
          <w:sz w:val="26"/>
          <w:szCs w:val="26"/>
          <w:rtl/>
        </w:rPr>
        <w:t xml:space="preserve">יצירתם של </w:t>
      </w:r>
      <w:r w:rsidRPr="00DA5DAD">
        <w:rPr>
          <w:rFonts w:ascii="Arial" w:eastAsia="Arial Unicode MS" w:hAnsi="Arial" w:cs="David"/>
          <w:spacing w:val="0"/>
          <w:sz w:val="26"/>
          <w:szCs w:val="26"/>
          <w:rtl/>
        </w:rPr>
        <w:t xml:space="preserve">מפגעים סביבתיים ותברואתיים המאיימים לזהם את האוויר, הקרקע ומקורות המים במדינת ישראל. </w:t>
      </w:r>
    </w:p>
    <w:p w14:paraId="78714270" w14:textId="553B8FDF" w:rsidR="00F44CCA" w:rsidRDefault="00F55C3A" w:rsidP="009270B0">
      <w:pPr>
        <w:snapToGrid w:val="0"/>
        <w:spacing w:before="0" w:line="240" w:lineRule="auto"/>
        <w:rPr>
          <w:rFonts w:ascii="Arial" w:eastAsia="Arial Unicode MS" w:hAnsi="Arial" w:cs="David"/>
          <w:spacing w:val="0"/>
          <w:sz w:val="26"/>
          <w:szCs w:val="26"/>
          <w:rtl/>
        </w:rPr>
      </w:pPr>
      <w:r w:rsidRPr="00DA5DAD">
        <w:rPr>
          <w:rFonts w:ascii="Arial" w:eastAsia="Arial Unicode MS" w:hAnsi="Arial" w:cs="David" w:hint="cs"/>
          <w:spacing w:val="0"/>
          <w:sz w:val="26"/>
          <w:szCs w:val="26"/>
          <w:rtl/>
        </w:rPr>
        <w:t xml:space="preserve">הצעות חוק דומות בעיקרן הונחו על שולחן הכנסת השמונה-עשרה על ידי חבר הכנסת יואל חסון (פ/4399/18), </w:t>
      </w:r>
      <w:r w:rsidR="009270B0">
        <w:rPr>
          <w:rFonts w:ascii="Arial" w:eastAsia="Arial Unicode MS" w:hAnsi="Arial" w:cs="David" w:hint="cs"/>
          <w:spacing w:val="0"/>
          <w:sz w:val="26"/>
          <w:szCs w:val="26"/>
          <w:rtl/>
        </w:rPr>
        <w:t>ו</w:t>
      </w:r>
      <w:r w:rsidRPr="00DA5DAD">
        <w:rPr>
          <w:rFonts w:ascii="Arial" w:eastAsia="Arial Unicode MS" w:hAnsi="Arial" w:cs="David" w:hint="cs"/>
          <w:spacing w:val="0"/>
          <w:sz w:val="26"/>
          <w:szCs w:val="26"/>
          <w:rtl/>
        </w:rPr>
        <w:t>על שולחן הכנסת התשע-עשרה על ידי חבר הכנסת דב חני</w:t>
      </w:r>
      <w:r w:rsidR="00DA5DAD" w:rsidRPr="00DA5DAD">
        <w:rPr>
          <w:rFonts w:ascii="Arial" w:eastAsia="Arial Unicode MS" w:hAnsi="Arial" w:cs="David" w:hint="cs"/>
          <w:spacing w:val="0"/>
          <w:sz w:val="26"/>
          <w:szCs w:val="26"/>
          <w:rtl/>
        </w:rPr>
        <w:t xml:space="preserve">ן וקבוצת חברי הכנסת (פ/1124/19; הוסרה מסדר היום ביום כ"ז בסיון </w:t>
      </w:r>
      <w:proofErr w:type="spellStart"/>
      <w:r w:rsidR="00DA5DAD" w:rsidRPr="00DA5DAD">
        <w:rPr>
          <w:rFonts w:ascii="Arial" w:eastAsia="Arial Unicode MS" w:hAnsi="Arial" w:cs="David" w:hint="cs"/>
          <w:spacing w:val="0"/>
          <w:sz w:val="26"/>
          <w:szCs w:val="26"/>
          <w:rtl/>
        </w:rPr>
        <w:t>התשע"ג</w:t>
      </w:r>
      <w:proofErr w:type="spellEnd"/>
      <w:r w:rsidR="00DA5DAD" w:rsidRPr="00DA5DAD">
        <w:rPr>
          <w:rFonts w:ascii="Arial" w:eastAsia="Arial Unicode MS" w:hAnsi="Arial" w:cs="David" w:hint="cs"/>
          <w:spacing w:val="0"/>
          <w:sz w:val="26"/>
          <w:szCs w:val="26"/>
          <w:rtl/>
        </w:rPr>
        <w:t xml:space="preserve"> (5 ביוני 2013))</w:t>
      </w:r>
      <w:r w:rsidR="009270B0">
        <w:rPr>
          <w:rFonts w:ascii="Arial" w:eastAsia="Arial Unicode MS" w:hAnsi="Arial" w:cs="David" w:hint="cs"/>
          <w:spacing w:val="0"/>
          <w:sz w:val="26"/>
          <w:szCs w:val="26"/>
          <w:rtl/>
        </w:rPr>
        <w:t>,</w:t>
      </w:r>
      <w:r w:rsidRPr="00DA5DAD">
        <w:rPr>
          <w:rFonts w:ascii="Arial" w:eastAsia="Arial Unicode MS" w:hAnsi="Arial" w:cs="David" w:hint="cs"/>
          <w:spacing w:val="0"/>
          <w:sz w:val="26"/>
          <w:szCs w:val="26"/>
          <w:rtl/>
        </w:rPr>
        <w:t xml:space="preserve"> ועל שולחן הכנסת העשרים על ידי חבר הכנסת דב חנין (</w:t>
      </w:r>
      <w:r w:rsidRPr="00DA5DAD">
        <w:rPr>
          <w:rFonts w:ascii="Arial" w:eastAsia="Arial Unicode MS" w:hAnsi="Arial" w:cs="David" w:hint="eastAsia"/>
          <w:spacing w:val="0"/>
          <w:sz w:val="26"/>
          <w:szCs w:val="26"/>
          <w:rtl/>
        </w:rPr>
        <w:t>פ</w:t>
      </w:r>
      <w:r w:rsidRPr="00DA5DAD">
        <w:rPr>
          <w:rFonts w:ascii="Arial" w:eastAsia="Arial Unicode MS" w:hAnsi="Arial" w:cs="David"/>
          <w:spacing w:val="0"/>
          <w:sz w:val="26"/>
          <w:szCs w:val="26"/>
          <w:rtl/>
        </w:rPr>
        <w:t>/</w:t>
      </w:r>
      <w:r w:rsidRPr="00DA5DAD">
        <w:rPr>
          <w:rFonts w:ascii="Arial" w:eastAsia="Arial Unicode MS" w:hAnsi="Arial" w:cs="David" w:hint="cs"/>
          <w:spacing w:val="0"/>
          <w:sz w:val="26"/>
          <w:szCs w:val="26"/>
          <w:rtl/>
        </w:rPr>
        <w:t>630/20).</w:t>
      </w:r>
      <w:r>
        <w:rPr>
          <w:rFonts w:ascii="Arial" w:eastAsia="Arial Unicode MS" w:hAnsi="Arial" w:cs="David" w:hint="cs"/>
          <w:spacing w:val="0"/>
          <w:sz w:val="26"/>
          <w:szCs w:val="26"/>
          <w:rtl/>
        </w:rPr>
        <w:t xml:space="preserve"> </w:t>
      </w:r>
    </w:p>
    <w:p w14:paraId="5E856880" w14:textId="2845F373" w:rsidR="00F55C3A" w:rsidRDefault="00F44CCA" w:rsidP="009270B0">
      <w:pPr>
        <w:snapToGrid w:val="0"/>
        <w:spacing w:before="0" w:line="240" w:lineRule="auto"/>
        <w:rPr>
          <w:rFonts w:ascii="Arial" w:eastAsia="Arial Unicode MS" w:hAnsi="Arial" w:cs="David"/>
          <w:spacing w:val="0"/>
          <w:sz w:val="26"/>
          <w:szCs w:val="26"/>
          <w:rtl/>
        </w:rPr>
      </w:pPr>
      <w:r>
        <w:rPr>
          <w:rFonts w:ascii="Arial" w:eastAsia="Arial Unicode MS" w:hAnsi="Arial" w:cs="David" w:hint="cs"/>
          <w:spacing w:val="0"/>
          <w:sz w:val="26"/>
          <w:szCs w:val="26"/>
          <w:rtl/>
        </w:rPr>
        <w:t xml:space="preserve">הצעות חוק זהות הונחו </w:t>
      </w:r>
      <w:r w:rsidRPr="00DA5DAD">
        <w:rPr>
          <w:rFonts w:ascii="Arial" w:eastAsia="Arial Unicode MS" w:hAnsi="Arial" w:cs="David" w:hint="cs"/>
          <w:spacing w:val="0"/>
          <w:sz w:val="26"/>
          <w:szCs w:val="26"/>
          <w:rtl/>
        </w:rPr>
        <w:t>על שולחן הכנסת התשע-עשרה על ידי חבר הכנסת אמנון כהן (</w:t>
      </w:r>
      <w:r w:rsidRPr="00DA5DAD">
        <w:rPr>
          <w:rFonts w:cs="David" w:hint="cs"/>
          <w:sz w:val="26"/>
          <w:szCs w:val="26"/>
          <w:rtl/>
        </w:rPr>
        <w:t>פ/435/19</w:t>
      </w:r>
      <w:r w:rsidR="00DA5DAD" w:rsidRPr="00DA5DAD">
        <w:rPr>
          <w:rFonts w:cs="David" w:hint="cs"/>
          <w:sz w:val="26"/>
          <w:szCs w:val="26"/>
          <w:rtl/>
        </w:rPr>
        <w:t xml:space="preserve">; </w:t>
      </w:r>
      <w:r w:rsidR="00DA5DAD" w:rsidRPr="00DA5DAD">
        <w:rPr>
          <w:rFonts w:ascii="Arial" w:eastAsia="Arial Unicode MS" w:hAnsi="Arial" w:cs="David" w:hint="cs"/>
          <w:spacing w:val="0"/>
          <w:sz w:val="26"/>
          <w:szCs w:val="26"/>
          <w:rtl/>
        </w:rPr>
        <w:t xml:space="preserve">הוסרה מסדר היום ביום כ"ז בסיון </w:t>
      </w:r>
      <w:proofErr w:type="spellStart"/>
      <w:r w:rsidR="00DA5DAD" w:rsidRPr="00DA5DAD">
        <w:rPr>
          <w:rFonts w:ascii="Arial" w:eastAsia="Arial Unicode MS" w:hAnsi="Arial" w:cs="David" w:hint="cs"/>
          <w:spacing w:val="0"/>
          <w:sz w:val="26"/>
          <w:szCs w:val="26"/>
          <w:rtl/>
        </w:rPr>
        <w:t>התשע"ג</w:t>
      </w:r>
      <w:proofErr w:type="spellEnd"/>
      <w:r w:rsidR="00DA5DAD" w:rsidRPr="00DA5DAD">
        <w:rPr>
          <w:rFonts w:ascii="Arial" w:eastAsia="Arial Unicode MS" w:hAnsi="Arial" w:cs="David" w:hint="cs"/>
          <w:spacing w:val="0"/>
          <w:sz w:val="26"/>
          <w:szCs w:val="26"/>
          <w:rtl/>
        </w:rPr>
        <w:t xml:space="preserve"> (5 ביוני 2013)</w:t>
      </w:r>
      <w:r w:rsidRPr="00DA5DAD">
        <w:rPr>
          <w:rFonts w:cs="David" w:hint="cs"/>
          <w:sz w:val="26"/>
          <w:szCs w:val="26"/>
          <w:rtl/>
        </w:rPr>
        <w:t>)</w:t>
      </w:r>
      <w:r w:rsidR="009270B0">
        <w:rPr>
          <w:rFonts w:cs="David" w:hint="cs"/>
          <w:sz w:val="26"/>
          <w:szCs w:val="26"/>
          <w:rtl/>
        </w:rPr>
        <w:t>,</w:t>
      </w:r>
      <w:r>
        <w:rPr>
          <w:rFonts w:cs="David" w:hint="cs"/>
          <w:sz w:val="26"/>
          <w:szCs w:val="26"/>
          <w:rtl/>
        </w:rPr>
        <w:t xml:space="preserve"> </w:t>
      </w:r>
      <w:r w:rsidR="00F55C3A">
        <w:rPr>
          <w:rFonts w:ascii="Arial" w:eastAsia="Arial Unicode MS" w:hAnsi="Arial" w:cs="David" w:hint="cs"/>
          <w:spacing w:val="0"/>
          <w:sz w:val="26"/>
          <w:szCs w:val="26"/>
          <w:rtl/>
        </w:rPr>
        <w:t>ועל</w:t>
      </w:r>
      <w:r>
        <w:rPr>
          <w:rFonts w:ascii="Arial" w:eastAsia="Arial Unicode MS" w:hAnsi="Arial" w:cs="David" w:hint="cs"/>
          <w:spacing w:val="0"/>
          <w:sz w:val="26"/>
          <w:szCs w:val="26"/>
          <w:rtl/>
        </w:rPr>
        <w:t xml:space="preserve"> שולחן הכנסת העשרים על</w:t>
      </w:r>
      <w:r w:rsidR="00F55C3A">
        <w:rPr>
          <w:rFonts w:ascii="Arial" w:eastAsia="Arial Unicode MS" w:hAnsi="Arial" w:cs="David" w:hint="cs"/>
          <w:spacing w:val="0"/>
          <w:sz w:val="26"/>
          <w:szCs w:val="26"/>
          <w:rtl/>
        </w:rPr>
        <w:t xml:space="preserve"> ידי חבר</w:t>
      </w:r>
      <w:r>
        <w:rPr>
          <w:rFonts w:ascii="Arial" w:eastAsia="Arial Unicode MS" w:hAnsi="Arial" w:cs="David" w:hint="cs"/>
          <w:spacing w:val="0"/>
          <w:sz w:val="26"/>
          <w:szCs w:val="26"/>
          <w:rtl/>
        </w:rPr>
        <w:t>י</w:t>
      </w:r>
      <w:r w:rsidR="00F55C3A">
        <w:rPr>
          <w:rFonts w:ascii="Arial" w:eastAsia="Arial Unicode MS" w:hAnsi="Arial" w:cs="David" w:hint="cs"/>
          <w:spacing w:val="0"/>
          <w:sz w:val="26"/>
          <w:szCs w:val="26"/>
          <w:rtl/>
        </w:rPr>
        <w:t xml:space="preserve"> הכנסת אורי </w:t>
      </w:r>
      <w:proofErr w:type="spellStart"/>
      <w:r w:rsidR="00F55C3A">
        <w:rPr>
          <w:rFonts w:ascii="Arial" w:eastAsia="Arial Unicode MS" w:hAnsi="Arial" w:cs="David" w:hint="cs"/>
          <w:spacing w:val="0"/>
          <w:sz w:val="26"/>
          <w:szCs w:val="26"/>
          <w:rtl/>
        </w:rPr>
        <w:t>מקלב</w:t>
      </w:r>
      <w:proofErr w:type="spellEnd"/>
      <w:r>
        <w:rPr>
          <w:rFonts w:ascii="Arial" w:eastAsia="Arial Unicode MS" w:hAnsi="Arial" w:cs="David" w:hint="cs"/>
          <w:spacing w:val="0"/>
          <w:sz w:val="26"/>
          <w:szCs w:val="26"/>
          <w:rtl/>
        </w:rPr>
        <w:t xml:space="preserve"> ומשה גפני</w:t>
      </w:r>
      <w:r w:rsidR="00F55C3A">
        <w:rPr>
          <w:rFonts w:ascii="Arial" w:eastAsia="Arial Unicode MS" w:hAnsi="Arial" w:cs="David" w:hint="cs"/>
          <w:spacing w:val="0"/>
          <w:sz w:val="26"/>
          <w:szCs w:val="26"/>
          <w:rtl/>
        </w:rPr>
        <w:t xml:space="preserve"> (</w:t>
      </w:r>
      <w:r w:rsidR="00F55C3A" w:rsidRPr="00C216C3">
        <w:rPr>
          <w:rFonts w:ascii="Arial" w:eastAsia="Arial Unicode MS" w:hAnsi="Arial" w:cs="David"/>
          <w:spacing w:val="0"/>
          <w:sz w:val="26"/>
          <w:szCs w:val="26"/>
          <w:rtl/>
        </w:rPr>
        <w:t>פ/821/20</w:t>
      </w:r>
      <w:r w:rsidR="00F55C3A">
        <w:rPr>
          <w:rFonts w:ascii="Arial" w:eastAsia="Arial Unicode MS" w:hAnsi="Arial" w:cs="David" w:hint="cs"/>
          <w:spacing w:val="0"/>
          <w:sz w:val="26"/>
          <w:szCs w:val="26"/>
          <w:rtl/>
        </w:rPr>
        <w:t>).</w:t>
      </w:r>
    </w:p>
    <w:p w14:paraId="14377447" w14:textId="77777777" w:rsidR="009270B0" w:rsidRPr="00D73212" w:rsidRDefault="009270B0" w:rsidP="009270B0">
      <w:pPr>
        <w:pStyle w:val="Hesber"/>
        <w:spacing w:line="276" w:lineRule="auto"/>
        <w:rPr>
          <w:color w:val="auto"/>
          <w:rtl/>
          <w:lang w:eastAsia="en-US"/>
        </w:rPr>
      </w:pPr>
      <w:r w:rsidRPr="00D73212">
        <w:rPr>
          <w:color w:val="auto"/>
          <w:rtl/>
          <w:lang w:eastAsia="en-US"/>
        </w:rPr>
        <w:t>---------------------------------</w:t>
      </w:r>
    </w:p>
    <w:p w14:paraId="2E7471D4" w14:textId="77777777" w:rsidR="009270B0" w:rsidRPr="00D73212" w:rsidRDefault="009270B0" w:rsidP="009270B0">
      <w:pPr>
        <w:pStyle w:val="Hesber"/>
        <w:spacing w:line="276" w:lineRule="auto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הוגשה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ליו</w:t>
      </w:r>
      <w:r w:rsidRPr="00D73212">
        <w:rPr>
          <w:color w:val="auto"/>
          <w:rtl/>
          <w:lang w:eastAsia="en-US"/>
        </w:rPr>
        <w:t>"</w:t>
      </w:r>
      <w:r w:rsidRPr="00D73212">
        <w:rPr>
          <w:rFonts w:hint="cs"/>
          <w:color w:val="auto"/>
          <w:rtl/>
          <w:lang w:eastAsia="en-US"/>
        </w:rPr>
        <w:t>ר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והסגנים</w:t>
      </w:r>
    </w:p>
    <w:p w14:paraId="443FA809" w14:textId="77777777" w:rsidR="009270B0" w:rsidRPr="00D73212" w:rsidRDefault="009270B0" w:rsidP="009270B0">
      <w:pPr>
        <w:pStyle w:val="Hesber"/>
        <w:spacing w:line="276" w:lineRule="auto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והונחה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על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שולחן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ביום</w:t>
      </w:r>
    </w:p>
    <w:p w14:paraId="1C7AA62E" w14:textId="591E28D3" w:rsidR="009270B0" w:rsidRPr="009270B0" w:rsidRDefault="009270B0" w:rsidP="009270B0">
      <w:pPr>
        <w:snapToGrid w:val="0"/>
        <w:spacing w:before="0" w:line="276" w:lineRule="auto"/>
        <w:rPr>
          <w:rFonts w:ascii="Arial" w:eastAsia="Arial Unicode MS" w:hAnsi="Arial" w:cs="David"/>
          <w:snapToGrid w:val="0"/>
          <w:color w:val="auto"/>
          <w:spacing w:val="0"/>
          <w:sz w:val="20"/>
          <w:szCs w:val="26"/>
          <w:rtl/>
          <w:lang w:eastAsia="en-US"/>
        </w:rPr>
      </w:pPr>
      <w:r w:rsidRPr="009270B0">
        <w:rPr>
          <w:rFonts w:ascii="Arial" w:eastAsia="Arial Unicode MS" w:hAnsi="Arial" w:cs="David" w:hint="cs"/>
          <w:snapToGrid w:val="0"/>
          <w:color w:val="auto"/>
          <w:spacing w:val="0"/>
          <w:sz w:val="20"/>
          <w:szCs w:val="26"/>
          <w:rtl/>
          <w:lang w:eastAsia="en-US"/>
        </w:rPr>
        <w:t>כ"ז בחשוון</w:t>
      </w:r>
      <w:r w:rsidRPr="009270B0">
        <w:rPr>
          <w:rFonts w:ascii="Arial" w:eastAsia="Arial Unicode MS" w:hAnsi="Arial" w:cs="David"/>
          <w:snapToGrid w:val="0"/>
          <w:color w:val="auto"/>
          <w:spacing w:val="0"/>
          <w:sz w:val="20"/>
          <w:szCs w:val="26"/>
          <w:rtl/>
          <w:lang w:eastAsia="en-US"/>
        </w:rPr>
        <w:t xml:space="preserve"> </w:t>
      </w:r>
      <w:proofErr w:type="spellStart"/>
      <w:r w:rsidRPr="009270B0">
        <w:rPr>
          <w:rFonts w:ascii="Arial" w:eastAsia="Arial Unicode MS" w:hAnsi="Arial" w:cs="David" w:hint="cs"/>
          <w:snapToGrid w:val="0"/>
          <w:color w:val="auto"/>
          <w:spacing w:val="0"/>
          <w:sz w:val="20"/>
          <w:szCs w:val="26"/>
          <w:rtl/>
          <w:lang w:eastAsia="en-US"/>
        </w:rPr>
        <w:t>התש"ף</w:t>
      </w:r>
      <w:proofErr w:type="spellEnd"/>
      <w:r w:rsidRPr="009270B0">
        <w:rPr>
          <w:rFonts w:ascii="Arial" w:eastAsia="Arial Unicode MS" w:hAnsi="Arial" w:cs="David" w:hint="cs"/>
          <w:snapToGrid w:val="0"/>
          <w:color w:val="auto"/>
          <w:spacing w:val="0"/>
          <w:sz w:val="20"/>
          <w:szCs w:val="26"/>
          <w:rtl/>
          <w:lang w:eastAsia="en-US"/>
        </w:rPr>
        <w:t xml:space="preserve"> </w:t>
      </w:r>
      <w:r w:rsidRPr="009270B0">
        <w:rPr>
          <w:rFonts w:ascii="Arial" w:eastAsia="Arial Unicode MS" w:hAnsi="Arial" w:cs="David"/>
          <w:snapToGrid w:val="0"/>
          <w:color w:val="auto"/>
          <w:spacing w:val="0"/>
          <w:sz w:val="20"/>
          <w:szCs w:val="26"/>
          <w:rtl/>
          <w:lang w:eastAsia="en-US"/>
        </w:rPr>
        <w:t>–</w:t>
      </w:r>
      <w:r w:rsidRPr="009270B0">
        <w:rPr>
          <w:rFonts w:ascii="Arial" w:eastAsia="Arial Unicode MS" w:hAnsi="Arial" w:cs="David" w:hint="cs"/>
          <w:snapToGrid w:val="0"/>
          <w:color w:val="auto"/>
          <w:spacing w:val="0"/>
          <w:sz w:val="20"/>
          <w:szCs w:val="26"/>
          <w:rtl/>
          <w:lang w:eastAsia="en-US"/>
        </w:rPr>
        <w:t xml:space="preserve"> 25.11</w:t>
      </w:r>
      <w:r w:rsidRPr="009270B0">
        <w:rPr>
          <w:rFonts w:ascii="Arial" w:eastAsia="Arial Unicode MS" w:hAnsi="Arial" w:cs="David"/>
          <w:snapToGrid w:val="0"/>
          <w:color w:val="auto"/>
          <w:spacing w:val="0"/>
          <w:sz w:val="20"/>
          <w:szCs w:val="26"/>
          <w:rtl/>
          <w:lang w:eastAsia="en-US"/>
        </w:rPr>
        <w:t>.</w:t>
      </w:r>
      <w:r w:rsidRPr="009270B0">
        <w:rPr>
          <w:rFonts w:ascii="Arial" w:eastAsia="Arial Unicode MS" w:hAnsi="Arial" w:cs="David" w:hint="cs"/>
          <w:snapToGrid w:val="0"/>
          <w:color w:val="auto"/>
          <w:spacing w:val="0"/>
          <w:sz w:val="20"/>
          <w:szCs w:val="26"/>
          <w:rtl/>
          <w:lang w:eastAsia="en-US"/>
        </w:rPr>
        <w:t xml:space="preserve">19  </w:t>
      </w:r>
    </w:p>
    <w:sectPr w:rsidR="009270B0" w:rsidRPr="009270B0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1BDCE" w14:textId="77777777" w:rsidR="00372164" w:rsidRDefault="00372164">
      <w:r>
        <w:separator/>
      </w:r>
    </w:p>
  </w:endnote>
  <w:endnote w:type="continuationSeparator" w:id="0">
    <w:p w14:paraId="5E6221DB" w14:textId="77777777" w:rsidR="00372164" w:rsidRDefault="00372164">
      <w:r>
        <w:continuationSeparator/>
      </w:r>
    </w:p>
  </w:endnote>
  <w:endnote w:type="continuationNotice" w:id="1">
    <w:p w14:paraId="6FF0F20A" w14:textId="77777777" w:rsidR="00372164" w:rsidRDefault="00372164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961D5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7F6961D6" w14:textId="77777777" w:rsidR="002C3041" w:rsidRDefault="002C304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961D7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9270B0">
      <w:rPr>
        <w:rStyle w:val="aa"/>
        <w:noProof/>
        <w:rtl/>
      </w:rPr>
      <w:t>2</w:t>
    </w:r>
    <w:r>
      <w:rPr>
        <w:rStyle w:val="aa"/>
        <w:rtl/>
      </w:rPr>
      <w:fldChar w:fldCharType="end"/>
    </w:r>
  </w:p>
  <w:p w14:paraId="7F6961D8" w14:textId="77777777" w:rsidR="002C3041" w:rsidRDefault="002C30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A99ED" w14:textId="77777777" w:rsidR="00372164" w:rsidRDefault="00372164">
      <w:r>
        <w:separator/>
      </w:r>
    </w:p>
  </w:footnote>
  <w:footnote w:type="continuationSeparator" w:id="0">
    <w:p w14:paraId="431FB0BC" w14:textId="77777777" w:rsidR="00372164" w:rsidRDefault="00372164">
      <w:r>
        <w:continuationSeparator/>
      </w:r>
    </w:p>
  </w:footnote>
  <w:footnote w:type="continuationNotice" w:id="1">
    <w:p w14:paraId="778C1B72" w14:textId="77777777" w:rsidR="00372164" w:rsidRDefault="00372164"/>
  </w:footnote>
  <w:footnote w:id="2">
    <w:p w14:paraId="3F06DF8D" w14:textId="77777777" w:rsidR="00F55C3A" w:rsidRDefault="00F55C3A" w:rsidP="00F55C3A">
      <w:pPr>
        <w:pStyle w:val="a4"/>
      </w:pPr>
      <w:r>
        <w:rPr>
          <w:rStyle w:val="a5"/>
        </w:rPr>
        <w:footnoteRef/>
      </w:r>
      <w:r>
        <w:rPr>
          <w:sz w:val="20"/>
          <w:rtl/>
        </w:rPr>
        <w:t xml:space="preserve"> ס"ח </w:t>
      </w:r>
      <w:proofErr w:type="spellStart"/>
      <w:r>
        <w:rPr>
          <w:sz w:val="20"/>
          <w:rtl/>
        </w:rPr>
        <w:t>התשמ"א</w:t>
      </w:r>
      <w:proofErr w:type="spellEnd"/>
      <w:r>
        <w:rPr>
          <w:sz w:val="20"/>
          <w:rtl/>
        </w:rPr>
        <w:t>, עמ' 248.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yMrAwMjUwtbQ0NLdQ0lEKTi0uzszPAykwrAUAM8F78CwAAAA="/>
    <w:docVar w:name="OriginalName" w:val="tmp482240lsCopyOriginal.docx"/>
    <w:docVar w:name="StartMode" w:val="2"/>
  </w:docVars>
  <w:rsids>
    <w:rsidRoot w:val="00DB7060"/>
    <w:rsid w:val="0000131B"/>
    <w:rsid w:val="00015B27"/>
    <w:rsid w:val="00063A3E"/>
    <w:rsid w:val="00072CAC"/>
    <w:rsid w:val="0007681A"/>
    <w:rsid w:val="000A542E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A0623"/>
    <w:rsid w:val="001C23B0"/>
    <w:rsid w:val="001D7AAF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728B4"/>
    <w:rsid w:val="0027600C"/>
    <w:rsid w:val="00292712"/>
    <w:rsid w:val="002A487D"/>
    <w:rsid w:val="002C2E29"/>
    <w:rsid w:val="002C3041"/>
    <w:rsid w:val="002D1EE3"/>
    <w:rsid w:val="002F1D80"/>
    <w:rsid w:val="003232A2"/>
    <w:rsid w:val="00325C14"/>
    <w:rsid w:val="0036422C"/>
    <w:rsid w:val="003710F6"/>
    <w:rsid w:val="00372164"/>
    <w:rsid w:val="00386E88"/>
    <w:rsid w:val="00396585"/>
    <w:rsid w:val="003D6E38"/>
    <w:rsid w:val="003D74A0"/>
    <w:rsid w:val="004033D8"/>
    <w:rsid w:val="004073F0"/>
    <w:rsid w:val="00412A7D"/>
    <w:rsid w:val="00416B4D"/>
    <w:rsid w:val="00417CFC"/>
    <w:rsid w:val="004A06DC"/>
    <w:rsid w:val="004B24ED"/>
    <w:rsid w:val="004B6625"/>
    <w:rsid w:val="004D2D82"/>
    <w:rsid w:val="004D3876"/>
    <w:rsid w:val="004E4552"/>
    <w:rsid w:val="004E6CDF"/>
    <w:rsid w:val="00553C9D"/>
    <w:rsid w:val="00562A66"/>
    <w:rsid w:val="005751C3"/>
    <w:rsid w:val="005B064E"/>
    <w:rsid w:val="005D51AE"/>
    <w:rsid w:val="0062674B"/>
    <w:rsid w:val="006363B2"/>
    <w:rsid w:val="00644940"/>
    <w:rsid w:val="006818A9"/>
    <w:rsid w:val="006A2D81"/>
    <w:rsid w:val="006C1D0D"/>
    <w:rsid w:val="0070601E"/>
    <w:rsid w:val="00712C72"/>
    <w:rsid w:val="00735FE9"/>
    <w:rsid w:val="00763CAA"/>
    <w:rsid w:val="00765F66"/>
    <w:rsid w:val="0078664F"/>
    <w:rsid w:val="007A27CE"/>
    <w:rsid w:val="007C3FA6"/>
    <w:rsid w:val="007D585A"/>
    <w:rsid w:val="007D5A12"/>
    <w:rsid w:val="007E59F9"/>
    <w:rsid w:val="00810BCD"/>
    <w:rsid w:val="00812C98"/>
    <w:rsid w:val="00814D92"/>
    <w:rsid w:val="0083181D"/>
    <w:rsid w:val="00843EB2"/>
    <w:rsid w:val="00865572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270B0"/>
    <w:rsid w:val="00930EFE"/>
    <w:rsid w:val="00943386"/>
    <w:rsid w:val="009456B6"/>
    <w:rsid w:val="009466AF"/>
    <w:rsid w:val="00957589"/>
    <w:rsid w:val="00966D06"/>
    <w:rsid w:val="00982412"/>
    <w:rsid w:val="00983A8D"/>
    <w:rsid w:val="009A0DB8"/>
    <w:rsid w:val="009A7257"/>
    <w:rsid w:val="009D6E0A"/>
    <w:rsid w:val="009E1E33"/>
    <w:rsid w:val="00A14672"/>
    <w:rsid w:val="00A26BD6"/>
    <w:rsid w:val="00A443CF"/>
    <w:rsid w:val="00A6611D"/>
    <w:rsid w:val="00A82CB7"/>
    <w:rsid w:val="00A942C1"/>
    <w:rsid w:val="00AA2F03"/>
    <w:rsid w:val="00AC36F7"/>
    <w:rsid w:val="00AC63A4"/>
    <w:rsid w:val="00AD239E"/>
    <w:rsid w:val="00AD3335"/>
    <w:rsid w:val="00B10265"/>
    <w:rsid w:val="00B16A99"/>
    <w:rsid w:val="00B21211"/>
    <w:rsid w:val="00B35784"/>
    <w:rsid w:val="00B733A7"/>
    <w:rsid w:val="00B75C91"/>
    <w:rsid w:val="00B93349"/>
    <w:rsid w:val="00B975AD"/>
    <w:rsid w:val="00BC45FB"/>
    <w:rsid w:val="00BF148D"/>
    <w:rsid w:val="00C23B1A"/>
    <w:rsid w:val="00C310EB"/>
    <w:rsid w:val="00C801CE"/>
    <w:rsid w:val="00C9176A"/>
    <w:rsid w:val="00CF1AA2"/>
    <w:rsid w:val="00D142D3"/>
    <w:rsid w:val="00D17774"/>
    <w:rsid w:val="00D63620"/>
    <w:rsid w:val="00D8410D"/>
    <w:rsid w:val="00D867D7"/>
    <w:rsid w:val="00DA219E"/>
    <w:rsid w:val="00DA5DAD"/>
    <w:rsid w:val="00DB7060"/>
    <w:rsid w:val="00DE3153"/>
    <w:rsid w:val="00E06736"/>
    <w:rsid w:val="00E13C27"/>
    <w:rsid w:val="00E33BBD"/>
    <w:rsid w:val="00E374F2"/>
    <w:rsid w:val="00E45103"/>
    <w:rsid w:val="00E55A60"/>
    <w:rsid w:val="00E623FC"/>
    <w:rsid w:val="00E62778"/>
    <w:rsid w:val="00E635A2"/>
    <w:rsid w:val="00E63D38"/>
    <w:rsid w:val="00E665B9"/>
    <w:rsid w:val="00EA01E6"/>
    <w:rsid w:val="00EA3DE8"/>
    <w:rsid w:val="00EA758F"/>
    <w:rsid w:val="00ED4A6F"/>
    <w:rsid w:val="00EF3A3A"/>
    <w:rsid w:val="00F44CCA"/>
    <w:rsid w:val="00F55C3A"/>
    <w:rsid w:val="00F628D6"/>
    <w:rsid w:val="00F67051"/>
    <w:rsid w:val="00F86A1E"/>
    <w:rsid w:val="00F945E2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8B907611-2BFB-4DD8-A51D-AD039B7D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a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B975AD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975AD"/>
  </w:style>
  <w:style w:type="paragraph" w:customStyle="1" w:styleId="TableBlock">
    <w:name w:val="Table Block"/>
    <w:basedOn w:val="TableText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a"/>
    <w:rsid w:val="00B975A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autoRedefine/>
    <w:semiHidden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5">
    <w:name w:val="footnote reference"/>
    <w:aliases w:val="Footnote Reference"/>
    <w:basedOn w:val="a0"/>
    <w:rsid w:val="00B975AD"/>
    <w:rPr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basedOn w:val="a0"/>
    <w:semiHidden/>
    <w:rsid w:val="00B975AD"/>
    <w:rPr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a7">
    <w:name w:val="header"/>
    <w:basedOn w:val="a"/>
    <w:rsid w:val="00B975AD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B975AD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a">
    <w:name w:val="page number"/>
    <w:basedOn w:val="a0"/>
    <w:rsid w:val="00B975AD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b">
    <w:name w:val="Balloon Text"/>
    <w:basedOn w:val="a"/>
    <w:link w:val="ac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A50981437779E428456932B2A638612" ma:contentTypeVersion="" ma:contentTypeDescription="צור מסמך חדש." ma:contentTypeScope="" ma:versionID="2df30a1b375d11bf545563b3a08682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5a2728251a2ce93c0626b1f2c5b5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AFE3-9455-419C-8851-785A55F44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F7FE1-11A8-40AA-8996-514EB44CE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C30415-4C0E-4312-A89E-B2A8C402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מוריה מזרחי</cp:lastModifiedBy>
  <cp:revision>2</cp:revision>
  <cp:lastPrinted>2019-11-19T14:11:00Z</cp:lastPrinted>
  <dcterms:created xsi:type="dcterms:W3CDTF">2019-11-26T05:47:00Z</dcterms:created>
  <dcterms:modified xsi:type="dcterms:W3CDTF">2019-11-26T05:47:00Z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0x0101003A50981437779E428456932B2A638612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2082201</vt:r8>
  </property>
</Properties>
</file>