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2082408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ושתיים</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אורי מקלב</w:t>
      </w:r>
      <w:r>
        <w:br/>
      </w:r>
      <w:r>
        <w:rPr>
          <w:rFonts w:hint="cs"/>
          <w:b/>
          <w:bCs/>
          <w:rtl/>
        </w:rPr>
        <w:t xml:space="preserve"> </w:t>
      </w:r>
      <w:r>
        <w:tab/>
      </w:r>
      <w:r>
        <w:tab/>
      </w:r>
      <w:r>
        <w:tab/>
      </w:r>
      <w:r>
        <w:tab/>
      </w:r>
      <w:r>
        <w:rPr>
          <w:rFonts w:hint="cs"/>
          <w:b/>
          <w:bCs/>
          <w:rtl/>
        </w:rPr>
        <w:t>משה גפני</w:t>
      </w:r>
      <w:r>
        <w:br/>
      </w:r>
      <w:r>
        <w:rPr>
          <w:rFonts w:hint="cs"/>
          <w:b/>
          <w:bCs/>
          <w:rtl/>
        </w:rPr>
        <w:t xml:space="preserve"> </w:t>
      </w:r>
      <w:r>
        <w:tab/>
      </w:r>
      <w:r>
        <w:tab/>
      </w:r>
      <w:r>
        <w:tab/>
      </w:r>
      <w:r>
        <w:tab/>
      </w:r>
      <w:r>
        <w:rPr>
          <w:rFonts w:hint="cs"/>
          <w:b/>
          <w:bCs/>
          <w:rtl/>
        </w:rPr>
        <w:t>יעקב אשר</w:t>
      </w:r>
      <w:bookmarkEnd w:id="3"/>
    </w:p>
    <w:p w14:paraId="7F6961AA" w14:textId="39F9D96B" w:rsidR="00E13C27" w:rsidRPr="00CF1AA2" w:rsidRDefault="007D585A" w:rsidP="0036422C">
      <w:pPr>
        <w:pStyle w:val="David"/>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0C11B76C" w:rsidR="00E13C27" w:rsidRPr="00E06736" w:rsidRDefault="00904591" w:rsidP="00977FC6">
      <w:pPr>
        <w:pStyle w:val="David"/>
        <w:spacing w:line="240" w:lineRule="auto"/>
        <w:ind w:left="3544"/>
        <w:rPr>
          <w:rtl/>
        </w:rPr>
      </w:pPr>
      <w:r>
        <w:t xml:space="preserve"> </w:t>
      </w:r>
      <w:bookmarkStart w:id="6" w:name="Private_Number"/>
      <w:r w:rsidR="00977FC6">
        <w:rPr>
          <w:rtl/>
        </w:rPr>
        <w:tab/>
      </w:r>
      <w:r w:rsidR="00977FC6">
        <w:rPr>
          <w:rtl/>
        </w:rPr>
        <w:tab/>
      </w:r>
      <w:r w:rsidR="00977FC6">
        <w:rPr>
          <w:rtl/>
        </w:rPr>
        <w:tab/>
      </w:r>
      <w:r w:rsidR="00977FC6">
        <w:rPr>
          <w:rtl/>
        </w:rPr>
        <w:tab/>
      </w:r>
      <w:r>
        <w:rPr>
          <w:rFonts w:hint="cs"/>
          <w:rtl/>
        </w:rPr>
        <w:t>פ/1218/22</w:t>
      </w:r>
      <w:bookmarkEnd w:id="6"/>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7" w:name="LGS_Subject"/>
      <w:r>
        <w:rPr>
          <w:rFonts w:hint="cs"/>
          <w:rtl/>
        </w:rPr>
        <w:t>הצעת חוק פיקוח על מחירי מצרכים ושירותים (תיקון – קביעת ההפרש בין מחיר מצרך לצרכן ומחיר מצרך לקמעונאי כרווח מרבי), התש"ף–2019</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A2303B" w:rsidRPr="00FE40A4" w14:paraId="250C4B18" w14:textId="77777777" w:rsidTr="005A1AE9">
        <w:trPr>
          <w:cantSplit/>
        </w:trPr>
        <w:tc>
          <w:tcPr>
            <w:tcW w:w="1871" w:type="dxa"/>
          </w:tcPr>
          <w:p w14:paraId="3A6EC11C" w14:textId="77777777" w:rsidR="00A2303B" w:rsidRPr="003E4D1F" w:rsidRDefault="00A2303B" w:rsidP="0049784D">
            <w:pPr>
              <w:pStyle w:val="TableSideHeading"/>
              <w:rPr>
                <w:rtl/>
              </w:rPr>
            </w:pPr>
            <w:r>
              <w:rPr>
                <w:rFonts w:hint="cs"/>
                <w:rtl/>
              </w:rPr>
              <w:t>תיקון סעיף 12</w:t>
            </w:r>
          </w:p>
        </w:tc>
        <w:tc>
          <w:tcPr>
            <w:tcW w:w="624" w:type="dxa"/>
          </w:tcPr>
          <w:p w14:paraId="45F3106F" w14:textId="77777777" w:rsidR="00A2303B" w:rsidRPr="005A1AE9" w:rsidRDefault="00A2303B" w:rsidP="005A1AE9">
            <w:pPr>
              <w:pStyle w:val="TableText"/>
              <w:jc w:val="both"/>
            </w:pPr>
            <w:r w:rsidRPr="005A1AE9">
              <w:rPr>
                <w:rtl/>
              </w:rPr>
              <w:t>1.</w:t>
            </w:r>
          </w:p>
        </w:tc>
        <w:tc>
          <w:tcPr>
            <w:tcW w:w="7143" w:type="dxa"/>
          </w:tcPr>
          <w:p w14:paraId="18CA542F" w14:textId="77777777" w:rsidR="00A2303B" w:rsidRPr="003E4D1F" w:rsidRDefault="00A2303B" w:rsidP="005A1AE9">
            <w:pPr>
              <w:pStyle w:val="TableBlock"/>
              <w:rPr>
                <w:rtl/>
              </w:rPr>
            </w:pPr>
            <w:r w:rsidRPr="003E4D1F">
              <w:rPr>
                <w:rtl/>
              </w:rPr>
              <w:t xml:space="preserve">בחוק פיקוח על מחירי מצרכים ושירותים, </w:t>
            </w:r>
            <w:r w:rsidRPr="003E4D1F">
              <w:rPr>
                <w:rFonts w:hint="cs"/>
                <w:rtl/>
              </w:rPr>
              <w:t>ה</w:t>
            </w:r>
            <w:r w:rsidRPr="003E4D1F">
              <w:rPr>
                <w:rFonts w:hint="eastAsia"/>
                <w:rtl/>
              </w:rPr>
              <w:t>תשנ</w:t>
            </w:r>
            <w:r w:rsidRPr="003E4D1F">
              <w:rPr>
                <w:rtl/>
              </w:rPr>
              <w:t>"ו</w:t>
            </w:r>
            <w:r w:rsidRPr="003E4D1F">
              <w:rPr>
                <w:rFonts w:hint="eastAsia"/>
                <w:rtl/>
              </w:rPr>
              <w:t>–</w:t>
            </w:r>
            <w:r w:rsidRPr="003E4D1F">
              <w:rPr>
                <w:rtl/>
              </w:rPr>
              <w:t>1996</w:t>
            </w:r>
            <w:r w:rsidRPr="005A1AE9">
              <w:rPr>
                <w:rStyle w:val="a5"/>
                <w:rFonts w:ascii="David" w:hAnsi="David"/>
                <w:sz w:val="26"/>
                <w:rtl/>
              </w:rPr>
              <w:footnoteReference w:id="2"/>
            </w:r>
            <w:r>
              <w:rPr>
                <w:rFonts w:hint="cs"/>
                <w:rtl/>
              </w:rPr>
              <w:t>,</w:t>
            </w:r>
            <w:r w:rsidRPr="003E4D1F">
              <w:rPr>
                <w:rtl/>
              </w:rPr>
              <w:t xml:space="preserve"> </w:t>
            </w:r>
            <w:r>
              <w:rPr>
                <w:rFonts w:hint="cs"/>
                <w:rtl/>
              </w:rPr>
              <w:t>ב</w:t>
            </w:r>
            <w:r w:rsidRPr="003E4D1F">
              <w:rPr>
                <w:rFonts w:hint="eastAsia"/>
                <w:rtl/>
              </w:rPr>
              <w:t>סעיף</w:t>
            </w:r>
            <w:r>
              <w:rPr>
                <w:rtl/>
              </w:rPr>
              <w:t xml:space="preserve"> 12</w:t>
            </w:r>
            <w:r>
              <w:rPr>
                <w:rFonts w:hint="cs"/>
                <w:rtl/>
              </w:rPr>
              <w:t>, אחרי סעיף קטן (ב)</w:t>
            </w:r>
            <w:r w:rsidRPr="003E4D1F">
              <w:rPr>
                <w:rtl/>
              </w:rPr>
              <w:t xml:space="preserve"> </w:t>
            </w:r>
            <w:r w:rsidRPr="003E4D1F">
              <w:rPr>
                <w:rFonts w:hint="eastAsia"/>
                <w:rtl/>
              </w:rPr>
              <w:t>יבוא</w:t>
            </w:r>
            <w:r w:rsidRPr="003E4D1F">
              <w:rPr>
                <w:rtl/>
              </w:rPr>
              <w:t>:</w:t>
            </w:r>
          </w:p>
        </w:tc>
      </w:tr>
      <w:tr w:rsidR="00A2303B" w:rsidRPr="00FE40A4" w14:paraId="11DD4708" w14:textId="77777777" w:rsidTr="005A1AE9">
        <w:trPr>
          <w:cantSplit/>
        </w:trPr>
        <w:tc>
          <w:tcPr>
            <w:tcW w:w="1871" w:type="dxa"/>
          </w:tcPr>
          <w:p w14:paraId="63A99E26" w14:textId="77777777" w:rsidR="00A2303B" w:rsidRPr="008D1045" w:rsidRDefault="00A2303B" w:rsidP="0049784D">
            <w:pPr>
              <w:pStyle w:val="TableSideHeading"/>
              <w:rPr>
                <w:rtl/>
              </w:rPr>
            </w:pPr>
          </w:p>
        </w:tc>
        <w:tc>
          <w:tcPr>
            <w:tcW w:w="624" w:type="dxa"/>
          </w:tcPr>
          <w:p w14:paraId="7D250E1D" w14:textId="77777777" w:rsidR="00A2303B" w:rsidRPr="008D1045" w:rsidRDefault="00A2303B" w:rsidP="0049784D">
            <w:pPr>
              <w:pStyle w:val="TableText"/>
              <w:rPr>
                <w:rtl/>
              </w:rPr>
            </w:pPr>
          </w:p>
        </w:tc>
        <w:tc>
          <w:tcPr>
            <w:tcW w:w="7143" w:type="dxa"/>
          </w:tcPr>
          <w:p w14:paraId="119B6779" w14:textId="328A2AFA" w:rsidR="00A2303B" w:rsidRDefault="00A2303B" w:rsidP="005A1AE9">
            <w:pPr>
              <w:pStyle w:val="TableBlock"/>
              <w:rPr>
                <w:rtl/>
              </w:rPr>
            </w:pPr>
            <w:r>
              <w:rPr>
                <w:rFonts w:hint="cs"/>
                <w:rtl/>
              </w:rPr>
              <w:t>"(ב1)</w:t>
            </w:r>
            <w:r w:rsidR="00977FC6">
              <w:rPr>
                <w:rtl/>
              </w:rPr>
              <w:tab/>
            </w:r>
            <w:r>
              <w:rPr>
                <w:rFonts w:hint="cs"/>
                <w:rtl/>
              </w:rPr>
              <w:t xml:space="preserve">קבעו השרים בצו מחיר מרבי למצרך במכירתו לקמעונאי ומחיר מרבי לאותו מצרך במכירתו לצרכן, יראו בצו גם קביעה של רווח מרבי שמותר לקמעונאי להפיק ממכירת המצרך, כאמור בסעיף קטן (ב), ובלבד שלא נקבעה הוראה אחרת לעניין הרווח המרבי; סכום הרווח המרבי האמור יהיה שווה לסכום ההפרש שבין המחיר המרבי שנקבע למצרך במכירתו לצרכן לבין המחיר המרבי שנקבע למצרך במכירתו לקמעונאי." </w:t>
            </w:r>
          </w:p>
        </w:tc>
      </w:tr>
    </w:tbl>
    <w:p w14:paraId="70FAA89D" w14:textId="77777777" w:rsidR="00A2303B" w:rsidRDefault="00A2303B" w:rsidP="00A2303B">
      <w:pPr>
        <w:pStyle w:val="HeadDivreiHesber"/>
        <w:rPr>
          <w:rtl/>
        </w:rPr>
      </w:pPr>
      <w:r w:rsidRPr="0027450A">
        <w:rPr>
          <w:rFonts w:hint="cs"/>
          <w:rtl/>
        </w:rPr>
        <w:t>דברי הסבר</w:t>
      </w:r>
    </w:p>
    <w:p w14:paraId="5B237D67" w14:textId="15E7BDE1" w:rsidR="00A2303B" w:rsidRPr="005A1AE9" w:rsidRDefault="00A2303B" w:rsidP="005A1AE9">
      <w:pPr>
        <w:pStyle w:val="Hesber"/>
        <w:rPr>
          <w:rtl/>
        </w:rPr>
      </w:pPr>
      <w:r w:rsidRPr="005A1AE9">
        <w:rPr>
          <w:rtl/>
        </w:rPr>
        <w:t xml:space="preserve">חוק פיקוח על מחירי מצרכים ושירותים, </w:t>
      </w:r>
      <w:r w:rsidRPr="005A1AE9">
        <w:rPr>
          <w:rFonts w:hint="cs"/>
          <w:rtl/>
        </w:rPr>
        <w:t>ה</w:t>
      </w:r>
      <w:r w:rsidRPr="005A1AE9">
        <w:rPr>
          <w:rtl/>
        </w:rPr>
        <w:t>תשנ"ו</w:t>
      </w:r>
      <w:r w:rsidRPr="005A1AE9">
        <w:rPr>
          <w:rFonts w:hint="eastAsia"/>
          <w:rtl/>
        </w:rPr>
        <w:t>–</w:t>
      </w:r>
      <w:r w:rsidRPr="005A1AE9">
        <w:rPr>
          <w:rtl/>
        </w:rPr>
        <w:t>1996 (להלן – החוק) נחקק במטרה להגדיר תשתית ברורה ויציבה למדיניות פיקוח המחירים של הממשלה. בין היתר, החוק מסמיך את השרים הרל</w:t>
      </w:r>
      <w:r w:rsidRPr="005A1AE9">
        <w:rPr>
          <w:rFonts w:hint="cs"/>
          <w:rtl/>
        </w:rPr>
        <w:t>וו</w:t>
      </w:r>
      <w:r w:rsidRPr="005A1AE9">
        <w:rPr>
          <w:rtl/>
        </w:rPr>
        <w:t xml:space="preserve">נטיים לקבוע בצו מחיר או מחיר מרבי למצרך או </w:t>
      </w:r>
      <w:r w:rsidR="005C4084">
        <w:rPr>
          <w:rFonts w:hint="cs"/>
          <w:rtl/>
        </w:rPr>
        <w:t>ל</w:t>
      </w:r>
      <w:r w:rsidRPr="005A1AE9">
        <w:rPr>
          <w:rtl/>
        </w:rPr>
        <w:t>שירות (להלן – המחיר המרבי).</w:t>
      </w:r>
    </w:p>
    <w:p w14:paraId="7B8EC7AF" w14:textId="3C04E248" w:rsidR="00A2303B" w:rsidRPr="005A1AE9" w:rsidRDefault="00A2303B" w:rsidP="005A1AE9">
      <w:pPr>
        <w:pStyle w:val="Hesber"/>
        <w:rPr>
          <w:rtl/>
        </w:rPr>
      </w:pPr>
      <w:r w:rsidRPr="005A1AE9">
        <w:rPr>
          <w:rtl/>
        </w:rPr>
        <w:t xml:space="preserve">במסגרת היחסים המסחריים, יצרנים נוהגים לתת לקמעונאים הנחות משמעותיות </w:t>
      </w:r>
      <w:r w:rsidR="009505FA">
        <w:rPr>
          <w:rFonts w:hint="cs"/>
          <w:rtl/>
        </w:rPr>
        <w:t>ב</w:t>
      </w:r>
      <w:r w:rsidRPr="005A1AE9">
        <w:rPr>
          <w:rFonts w:hint="cs"/>
          <w:rtl/>
        </w:rPr>
        <w:t xml:space="preserve">עבור מצרכים, ובין היתר הנחות </w:t>
      </w:r>
      <w:r w:rsidR="009505FA">
        <w:rPr>
          <w:rFonts w:hint="cs"/>
          <w:rtl/>
        </w:rPr>
        <w:t>מ</w:t>
      </w:r>
      <w:r w:rsidRPr="005A1AE9">
        <w:rPr>
          <w:rFonts w:hint="cs"/>
          <w:rtl/>
        </w:rPr>
        <w:t xml:space="preserve">המחיר המרבי שנקבע בצו למצרך בפיקוח </w:t>
      </w:r>
      <w:r w:rsidRPr="005A1AE9">
        <w:rPr>
          <w:rtl/>
        </w:rPr>
        <w:t>(להלן – הנחות מסחריות). שיעור ההנחות המסחריות משתנה בהתאם לכוח השוק של הקמעונאי</w:t>
      </w:r>
      <w:r w:rsidRPr="005A1AE9">
        <w:rPr>
          <w:rFonts w:hint="cs"/>
          <w:rtl/>
        </w:rPr>
        <w:t>,</w:t>
      </w:r>
      <w:r w:rsidRPr="005A1AE9">
        <w:rPr>
          <w:rtl/>
        </w:rPr>
        <w:t xml:space="preserve"> וככל שהקמעונאי גדול יותר</w:t>
      </w:r>
      <w:r w:rsidRPr="005A1AE9">
        <w:rPr>
          <w:rFonts w:hint="cs"/>
          <w:rtl/>
        </w:rPr>
        <w:t>,</w:t>
      </w:r>
      <w:r w:rsidRPr="005A1AE9">
        <w:rPr>
          <w:rtl/>
        </w:rPr>
        <w:t xml:space="preserve"> כך גם ההנחות המסחריות שהיצרן נאלץ להעניק.</w:t>
      </w:r>
    </w:p>
    <w:p w14:paraId="2F8F7AAA" w14:textId="4BBC478D" w:rsidR="00A2303B" w:rsidRPr="005A1AE9" w:rsidRDefault="00A2303B" w:rsidP="009505FA">
      <w:pPr>
        <w:pStyle w:val="Hesber"/>
        <w:rPr>
          <w:rtl/>
        </w:rPr>
      </w:pPr>
      <w:r w:rsidRPr="005A1AE9">
        <w:rPr>
          <w:rtl/>
        </w:rPr>
        <w:t>ברובם המכריע של המקרים, הקמעונאים אינם מגלגלים את ההנחה המסחרית לצרכן, וגובים בעבור המצרך את המחיר המרבי המותר להם. כלומר</w:t>
      </w:r>
      <w:r w:rsidR="009505FA">
        <w:rPr>
          <w:rFonts w:hint="cs"/>
          <w:rtl/>
        </w:rPr>
        <w:t>,</w:t>
      </w:r>
      <w:r w:rsidRPr="005A1AE9">
        <w:rPr>
          <w:rtl/>
        </w:rPr>
        <w:t xml:space="preserve"> גם כאשר קמעונאי רוכש מיצרן את המצרך במחיר מוזל, הציבור </w:t>
      </w:r>
      <w:r w:rsidR="009505FA">
        <w:rPr>
          <w:rFonts w:hint="cs"/>
          <w:rtl/>
        </w:rPr>
        <w:t>לא</w:t>
      </w:r>
      <w:r w:rsidR="009505FA" w:rsidRPr="005A1AE9">
        <w:rPr>
          <w:rtl/>
        </w:rPr>
        <w:t xml:space="preserve"> </w:t>
      </w:r>
      <w:r w:rsidRPr="005A1AE9">
        <w:rPr>
          <w:rtl/>
        </w:rPr>
        <w:t xml:space="preserve">מפיק תועלת ישירה מהנחות אלה והן </w:t>
      </w:r>
      <w:r w:rsidR="009505FA">
        <w:rPr>
          <w:rFonts w:hint="cs"/>
          <w:rtl/>
        </w:rPr>
        <w:t>לא</w:t>
      </w:r>
      <w:r w:rsidR="009505FA" w:rsidRPr="005A1AE9">
        <w:rPr>
          <w:rtl/>
        </w:rPr>
        <w:t xml:space="preserve"> </w:t>
      </w:r>
      <w:r w:rsidRPr="005A1AE9">
        <w:rPr>
          <w:rtl/>
        </w:rPr>
        <w:t>משמשות להגדלת היקף המכירות של הקמעונאי.</w:t>
      </w:r>
    </w:p>
    <w:p w14:paraId="2E61896D" w14:textId="749446B4" w:rsidR="00A2303B" w:rsidRPr="005A1AE9" w:rsidRDefault="00A2303B" w:rsidP="005A1AE9">
      <w:pPr>
        <w:pStyle w:val="Hesber"/>
        <w:rPr>
          <w:rtl/>
        </w:rPr>
      </w:pPr>
      <w:r w:rsidRPr="005A1AE9">
        <w:rPr>
          <w:rtl/>
        </w:rPr>
        <w:lastRenderedPageBreak/>
        <w:t>התופעה של מתן הנחות מסחריות אף פוגעת קשות בתחרות. יצרנים קטנים ובינונים המבקשים להתחרות בשוק</w:t>
      </w:r>
      <w:r w:rsidR="009505FA">
        <w:rPr>
          <w:rFonts w:hint="cs"/>
          <w:rtl/>
        </w:rPr>
        <w:t>,</w:t>
      </w:r>
      <w:r w:rsidRPr="005A1AE9">
        <w:rPr>
          <w:rtl/>
        </w:rPr>
        <w:t xml:space="preserve"> נאלצים לתת לקמעונאים הנחות גבוהות במיוחד, רק </w:t>
      </w:r>
      <w:r w:rsidRPr="005A1AE9">
        <w:rPr>
          <w:rFonts w:hint="cs"/>
          <w:rtl/>
        </w:rPr>
        <w:t>כדי</w:t>
      </w:r>
      <w:r w:rsidRPr="005A1AE9">
        <w:rPr>
          <w:rtl/>
        </w:rPr>
        <w:t xml:space="preserve"> שיציבו</w:t>
      </w:r>
      <w:r w:rsidR="009505FA">
        <w:rPr>
          <w:rFonts w:hint="cs"/>
          <w:rtl/>
        </w:rPr>
        <w:t xml:space="preserve"> את</w:t>
      </w:r>
      <w:r w:rsidRPr="005A1AE9">
        <w:rPr>
          <w:rtl/>
        </w:rPr>
        <w:t xml:space="preserve"> מצרכיהם על המדף, ולפיכך היכולת שלהם להתחרות ביצרנים גדולים נפגעת. ממילא נגישותם של היצרנים הקטנים והבינוניים לשטחי המכירה מוגבלת ביותר, והצורך ל</w:t>
      </w:r>
      <w:r w:rsidR="009505FA">
        <w:rPr>
          <w:rFonts w:hint="cs"/>
          <w:rtl/>
        </w:rPr>
        <w:t>העניק</w:t>
      </w:r>
      <w:r w:rsidRPr="005A1AE9">
        <w:rPr>
          <w:rtl/>
        </w:rPr>
        <w:t xml:space="preserve"> לקמעונאים הנחות גבוהות רק מחמירה את מצבם. כמו כן, יצרנים חדשים המתעתדים להיכנס לשוק נמנעים מלעשות כן</w:t>
      </w:r>
      <w:r w:rsidR="00A912A9">
        <w:rPr>
          <w:rFonts w:hint="cs"/>
          <w:rtl/>
        </w:rPr>
        <w:t>,</w:t>
      </w:r>
      <w:r w:rsidRPr="005A1AE9">
        <w:rPr>
          <w:rtl/>
        </w:rPr>
        <w:t xml:space="preserve"> מכיוון שאין להם יכולת אמיתית להתחרות ביצרנים הגדולים.</w:t>
      </w:r>
    </w:p>
    <w:p w14:paraId="6EE1E0E1" w14:textId="49E8A6B2" w:rsidR="00A2303B" w:rsidRPr="005A1AE9" w:rsidRDefault="00A2303B" w:rsidP="00442160">
      <w:pPr>
        <w:pStyle w:val="Hesber"/>
        <w:rPr>
          <w:rtl/>
        </w:rPr>
      </w:pPr>
      <w:r w:rsidRPr="005A1AE9">
        <w:rPr>
          <w:rtl/>
        </w:rPr>
        <w:t xml:space="preserve">לפיכך, מוצע לקבוע בחוק </w:t>
      </w:r>
      <w:r w:rsidRPr="005A1AE9">
        <w:rPr>
          <w:rFonts w:hint="cs"/>
          <w:rtl/>
        </w:rPr>
        <w:t xml:space="preserve">שכאשר השרים הרלוונטיים קובעים בצו מחיר מרבי במכירה של מצרך לקמעונאי ומחיר מרבי במכירה של </w:t>
      </w:r>
      <w:r w:rsidR="00E47954">
        <w:rPr>
          <w:rFonts w:hint="cs"/>
          <w:rtl/>
        </w:rPr>
        <w:t xml:space="preserve">אותו </w:t>
      </w:r>
      <w:r w:rsidRPr="005A1AE9">
        <w:rPr>
          <w:rFonts w:hint="cs"/>
          <w:rtl/>
        </w:rPr>
        <w:t>מצרך לצרכן, יראו בכך קביעה של רווח מרבי שניתן להפיק מ</w:t>
      </w:r>
      <w:r w:rsidR="00E47954">
        <w:rPr>
          <w:rFonts w:hint="cs"/>
          <w:rtl/>
        </w:rPr>
        <w:t xml:space="preserve">מכירת </w:t>
      </w:r>
      <w:r w:rsidRPr="005A1AE9">
        <w:rPr>
          <w:rFonts w:hint="cs"/>
          <w:rtl/>
        </w:rPr>
        <w:t>המצרך</w:t>
      </w:r>
      <w:r w:rsidR="004635BF">
        <w:rPr>
          <w:rFonts w:hint="cs"/>
          <w:rtl/>
        </w:rPr>
        <w:t>. לפי המוצע, הרווח המרבי</w:t>
      </w:r>
      <w:r w:rsidRPr="005A1AE9">
        <w:rPr>
          <w:rFonts w:hint="cs"/>
          <w:rtl/>
        </w:rPr>
        <w:t xml:space="preserve"> יהיה שווה להפרש בין המחירים המרביים שנקבעו בצו. כך, </w:t>
      </w:r>
      <w:r w:rsidR="00015CB8">
        <w:rPr>
          <w:rFonts w:hint="cs"/>
          <w:rtl/>
        </w:rPr>
        <w:t>למעשה</w:t>
      </w:r>
      <w:r w:rsidRPr="005A1AE9">
        <w:rPr>
          <w:rFonts w:hint="cs"/>
          <w:rtl/>
        </w:rPr>
        <w:t xml:space="preserve">, מוטלת </w:t>
      </w:r>
      <w:r w:rsidRPr="005A1AE9">
        <w:rPr>
          <w:rtl/>
        </w:rPr>
        <w:t>חובה על הקמעונאי לגלגל אל הצרכן את ההנחות המסחריות שניתנות לו על</w:t>
      </w:r>
      <w:r w:rsidRPr="005A1AE9">
        <w:rPr>
          <w:rFonts w:hint="cs"/>
          <w:rtl/>
        </w:rPr>
        <w:t xml:space="preserve"> מצרכים הנמצאים בפיקוח, אשר נקבע להם</w:t>
      </w:r>
      <w:r w:rsidRPr="005A1AE9">
        <w:rPr>
          <w:rtl/>
        </w:rPr>
        <w:t xml:space="preserve"> מחיר מרבי, כך שגם ציבור הצרכנים יוכל ליהנות מההנחות המסחריות שניתנות על ידי היצרן של</w:t>
      </w:r>
      <w:r w:rsidRPr="005A1AE9">
        <w:rPr>
          <w:rFonts w:hint="cs"/>
          <w:rtl/>
        </w:rPr>
        <w:t xml:space="preserve"> מצרך </w:t>
      </w:r>
      <w:r w:rsidR="00015CB8">
        <w:rPr>
          <w:rFonts w:hint="cs"/>
          <w:rtl/>
        </w:rPr>
        <w:t>כאמור</w:t>
      </w:r>
      <w:r w:rsidRPr="005A1AE9">
        <w:rPr>
          <w:rFonts w:hint="cs"/>
          <w:rtl/>
        </w:rPr>
        <w:t>.</w:t>
      </w:r>
    </w:p>
    <w:p w14:paraId="6A7D001C" w14:textId="61938CEB" w:rsidR="00A2303B" w:rsidRPr="005A1AE9" w:rsidRDefault="00A23E23" w:rsidP="00142ED1">
      <w:pPr>
        <w:pStyle w:val="Hesber"/>
        <w:rPr>
          <w:rtl/>
        </w:rPr>
      </w:pPr>
      <w:r>
        <w:rPr>
          <w:rFonts w:hint="cs"/>
          <w:rtl/>
        </w:rPr>
        <w:t>ההסדר המוצע</w:t>
      </w:r>
      <w:r w:rsidR="00A2303B" w:rsidRPr="005A1AE9">
        <w:rPr>
          <w:rFonts w:hint="cs"/>
          <w:rtl/>
        </w:rPr>
        <w:t xml:space="preserve"> </w:t>
      </w:r>
      <w:r>
        <w:rPr>
          <w:rFonts w:hint="cs"/>
          <w:rtl/>
        </w:rPr>
        <w:t>י</w:t>
      </w:r>
      <w:r w:rsidR="00A2303B" w:rsidRPr="005A1AE9">
        <w:rPr>
          <w:rFonts w:hint="cs"/>
          <w:rtl/>
        </w:rPr>
        <w:t xml:space="preserve">עודד תחרות בין יצרנים קטנים ובינוניים לבין יצרנים גדולים, שכן </w:t>
      </w:r>
      <w:r w:rsidR="00142ED1">
        <w:rPr>
          <w:rFonts w:hint="cs"/>
          <w:rtl/>
        </w:rPr>
        <w:t xml:space="preserve">קביעת </w:t>
      </w:r>
      <w:r w:rsidR="00A2303B" w:rsidRPr="005A1AE9">
        <w:rPr>
          <w:rFonts w:hint="cs"/>
          <w:rtl/>
        </w:rPr>
        <w:t xml:space="preserve">רווח מרבי </w:t>
      </w:r>
      <w:r w:rsidR="00142ED1">
        <w:rPr>
          <w:rFonts w:hint="cs"/>
          <w:rtl/>
        </w:rPr>
        <w:t>ת</w:t>
      </w:r>
      <w:r w:rsidR="00A2303B" w:rsidRPr="005A1AE9">
        <w:rPr>
          <w:rFonts w:hint="cs"/>
          <w:rtl/>
        </w:rPr>
        <w:t>צמצם את התמריץ של קמעונאים לרכוש מצרכים בהנחות מסחריות מיצרנים גדולים.</w:t>
      </w:r>
    </w:p>
    <w:p w14:paraId="587A336C" w14:textId="462D7CA7" w:rsidR="00A2303B" w:rsidRDefault="00A2303B" w:rsidP="005A1AE9">
      <w:pPr>
        <w:pStyle w:val="Hesber"/>
        <w:rPr>
          <w:rtl/>
        </w:rPr>
      </w:pPr>
      <w:r w:rsidRPr="005A1AE9">
        <w:rPr>
          <w:rFonts w:hint="cs"/>
          <w:rtl/>
        </w:rPr>
        <w:t xml:space="preserve">הצעת חוק זהה הונחה על שולחן הכנסת העשרים על ידי חבר הכנסת אורי מקלב </w:t>
      </w:r>
      <w:r w:rsidR="00597FEF">
        <w:rPr>
          <w:rFonts w:hint="cs"/>
          <w:rtl/>
        </w:rPr>
        <w:t>וקבוצת חברי הכנסת</w:t>
      </w:r>
      <w:r w:rsidRPr="005A1AE9">
        <w:rPr>
          <w:rFonts w:hint="cs"/>
          <w:rtl/>
        </w:rPr>
        <w:t xml:space="preserve"> (פ/2992/20).</w:t>
      </w:r>
    </w:p>
    <w:p w14:paraId="799F920F" w14:textId="77777777" w:rsidR="00977FC6" w:rsidRDefault="00977FC6" w:rsidP="005A1AE9">
      <w:pPr>
        <w:pStyle w:val="Hesber"/>
        <w:rPr>
          <w:rtl/>
        </w:rPr>
      </w:pPr>
    </w:p>
    <w:p w14:paraId="79B33019" w14:textId="77777777" w:rsidR="00977FC6" w:rsidRDefault="00977FC6" w:rsidP="005A1AE9">
      <w:pPr>
        <w:pStyle w:val="Hesber"/>
        <w:rPr>
          <w:rtl/>
        </w:rPr>
      </w:pPr>
    </w:p>
    <w:p w14:paraId="13CD5F19" w14:textId="77777777" w:rsidR="00977FC6" w:rsidRPr="00D73212" w:rsidRDefault="00977FC6" w:rsidP="00977FC6">
      <w:pPr>
        <w:pStyle w:val="Hesber"/>
        <w:ind w:firstLine="0"/>
        <w:rPr>
          <w:rtl/>
        </w:rPr>
      </w:pPr>
      <w:r w:rsidRPr="00D73212">
        <w:rPr>
          <w:rtl/>
        </w:rPr>
        <w:t>---------------------------------</w:t>
      </w:r>
    </w:p>
    <w:p w14:paraId="48C6025F" w14:textId="77777777" w:rsidR="00977FC6" w:rsidRPr="00D73212" w:rsidRDefault="00977FC6" w:rsidP="00977FC6">
      <w:pPr>
        <w:pStyle w:val="Hesber"/>
        <w:ind w:firstLine="0"/>
        <w:rPr>
          <w:rtl/>
        </w:rPr>
      </w:pPr>
      <w:r w:rsidRPr="00D73212">
        <w:rPr>
          <w:rFonts w:hint="cs"/>
          <w:rtl/>
        </w:rPr>
        <w:t>הוגשה</w:t>
      </w:r>
      <w:r w:rsidRPr="00D73212">
        <w:rPr>
          <w:rtl/>
        </w:rPr>
        <w:t xml:space="preserve"> </w:t>
      </w:r>
      <w:r w:rsidRPr="00D73212">
        <w:rPr>
          <w:rFonts w:hint="cs"/>
          <w:rtl/>
        </w:rPr>
        <w:t>ליו</w:t>
      </w:r>
      <w:r w:rsidRPr="00D73212">
        <w:rPr>
          <w:rtl/>
        </w:rPr>
        <w:t>"</w:t>
      </w:r>
      <w:r w:rsidRPr="00D73212">
        <w:rPr>
          <w:rFonts w:hint="cs"/>
          <w:rtl/>
        </w:rPr>
        <w:t>ר</w:t>
      </w:r>
      <w:r w:rsidRPr="00D73212">
        <w:rPr>
          <w:rtl/>
        </w:rPr>
        <w:t xml:space="preserve"> </w:t>
      </w:r>
      <w:r w:rsidRPr="00D73212">
        <w:rPr>
          <w:rFonts w:hint="cs"/>
          <w:rtl/>
        </w:rPr>
        <w:t>הכנסת</w:t>
      </w:r>
      <w:r w:rsidRPr="00D73212">
        <w:rPr>
          <w:rtl/>
        </w:rPr>
        <w:t xml:space="preserve"> </w:t>
      </w:r>
      <w:r w:rsidRPr="00D73212">
        <w:rPr>
          <w:rFonts w:hint="cs"/>
          <w:rtl/>
        </w:rPr>
        <w:t>והסגנים</w:t>
      </w:r>
    </w:p>
    <w:p w14:paraId="6F55CA81" w14:textId="77777777" w:rsidR="00977FC6" w:rsidRPr="00D73212" w:rsidRDefault="00977FC6" w:rsidP="00977FC6">
      <w:pPr>
        <w:pStyle w:val="Hesber"/>
        <w:ind w:firstLine="0"/>
        <w:rPr>
          <w:rtl/>
        </w:rPr>
      </w:pPr>
      <w:r w:rsidRPr="00D73212">
        <w:rPr>
          <w:rFonts w:hint="cs"/>
          <w:rtl/>
        </w:rPr>
        <w:t>והונחה</w:t>
      </w:r>
      <w:r w:rsidRPr="00D73212">
        <w:rPr>
          <w:rtl/>
        </w:rPr>
        <w:t xml:space="preserve"> </w:t>
      </w:r>
      <w:r w:rsidRPr="00D73212">
        <w:rPr>
          <w:rFonts w:hint="cs"/>
          <w:rtl/>
        </w:rPr>
        <w:t>על</w:t>
      </w:r>
      <w:r w:rsidRPr="00D73212">
        <w:rPr>
          <w:rtl/>
        </w:rPr>
        <w:t xml:space="preserve"> </w:t>
      </w:r>
      <w:r w:rsidRPr="00D73212">
        <w:rPr>
          <w:rFonts w:hint="cs"/>
          <w:rtl/>
        </w:rPr>
        <w:t>שולחן</w:t>
      </w:r>
      <w:r w:rsidRPr="00D73212">
        <w:rPr>
          <w:rtl/>
        </w:rPr>
        <w:t xml:space="preserve"> </w:t>
      </w:r>
      <w:r w:rsidRPr="00D73212">
        <w:rPr>
          <w:rFonts w:hint="cs"/>
          <w:rtl/>
        </w:rPr>
        <w:t>הכנסת</w:t>
      </w:r>
      <w:r w:rsidRPr="00D73212">
        <w:rPr>
          <w:rtl/>
        </w:rPr>
        <w:t xml:space="preserve"> </w:t>
      </w:r>
      <w:r w:rsidRPr="00D73212">
        <w:rPr>
          <w:rFonts w:hint="cs"/>
          <w:rtl/>
        </w:rPr>
        <w:t>ביום</w:t>
      </w:r>
    </w:p>
    <w:p w14:paraId="4946A874" w14:textId="77777777" w:rsidR="00977FC6" w:rsidRPr="005E6543" w:rsidRDefault="00977FC6" w:rsidP="00977FC6">
      <w:pPr>
        <w:pStyle w:val="Hesber"/>
        <w:ind w:firstLine="0"/>
        <w:rPr>
          <w:rtl/>
        </w:rPr>
      </w:pPr>
      <w:r>
        <w:rPr>
          <w:rFonts w:hint="cs"/>
          <w:rtl/>
        </w:rPr>
        <w:t xml:space="preserve">י"א בכסלו </w:t>
      </w:r>
      <w:r w:rsidRPr="00D73212">
        <w:rPr>
          <w:rFonts w:hint="cs"/>
          <w:rtl/>
        </w:rPr>
        <w:t>התש</w:t>
      </w:r>
      <w:r>
        <w:rPr>
          <w:rFonts w:hint="cs"/>
          <w:rtl/>
        </w:rPr>
        <w:t xml:space="preserve">"ף </w:t>
      </w:r>
      <w:r w:rsidRPr="00D73212">
        <w:rPr>
          <w:rtl/>
        </w:rPr>
        <w:t>–</w:t>
      </w:r>
      <w:r>
        <w:rPr>
          <w:rFonts w:hint="cs"/>
          <w:rtl/>
        </w:rPr>
        <w:t xml:space="preserve"> 9.12</w:t>
      </w:r>
      <w:r w:rsidRPr="00D73212">
        <w:rPr>
          <w:rtl/>
        </w:rPr>
        <w:t>.</w:t>
      </w:r>
      <w:r>
        <w:rPr>
          <w:rFonts w:hint="cs"/>
          <w:rtl/>
        </w:rPr>
        <w:t>19</w:t>
      </w:r>
    </w:p>
    <w:p w14:paraId="6A492996" w14:textId="77777777" w:rsidR="00977FC6" w:rsidRPr="005A1AE9" w:rsidRDefault="00977FC6" w:rsidP="005A1AE9">
      <w:pPr>
        <w:pStyle w:val="Hesber"/>
        <w:rPr>
          <w:rtl/>
        </w:rPr>
      </w:pPr>
      <w:bookmarkStart w:id="8" w:name="_GoBack"/>
      <w:bookmarkEnd w:id="8"/>
    </w:p>
    <w:p w14:paraId="7F6961CB" w14:textId="77777777" w:rsidR="00E13C27" w:rsidRDefault="00E13C27" w:rsidP="00E13C27">
      <w:pPr>
        <w:pStyle w:val="Hesber"/>
        <w:rPr>
          <w:rtl/>
        </w:rPr>
      </w:pPr>
    </w:p>
    <w:sectPr w:rsidR="00E13C27" w:rsidSect="005A1AE9">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977FC6">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5A1AE9">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63139CBC" w14:textId="77777777" w:rsidR="00A2303B" w:rsidRDefault="00A2303B" w:rsidP="00A2303B">
      <w:pPr>
        <w:pStyle w:val="a4"/>
        <w:rPr>
          <w:rtl/>
        </w:rPr>
      </w:pPr>
      <w:r>
        <w:rPr>
          <w:rStyle w:val="a5"/>
        </w:rPr>
        <w:footnoteRef/>
      </w:r>
      <w:r>
        <w:rPr>
          <w:rtl/>
        </w:rPr>
        <w:t xml:space="preserve"> </w:t>
      </w:r>
      <w:r>
        <w:rPr>
          <w:rFonts w:hint="cs"/>
          <w:rtl/>
        </w:rPr>
        <w:t>ס"ח התשנ"ו, עמ'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15CB8"/>
    <w:rsid w:val="00063A3E"/>
    <w:rsid w:val="00072CAC"/>
    <w:rsid w:val="0007681A"/>
    <w:rsid w:val="000A542E"/>
    <w:rsid w:val="00102B6B"/>
    <w:rsid w:val="001052D4"/>
    <w:rsid w:val="0010644B"/>
    <w:rsid w:val="001207F8"/>
    <w:rsid w:val="00121924"/>
    <w:rsid w:val="001279A8"/>
    <w:rsid w:val="0014195F"/>
    <w:rsid w:val="00142ED1"/>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42160"/>
    <w:rsid w:val="004635BF"/>
    <w:rsid w:val="004A06DC"/>
    <w:rsid w:val="004B24ED"/>
    <w:rsid w:val="004B62B7"/>
    <w:rsid w:val="004B6625"/>
    <w:rsid w:val="004D2D82"/>
    <w:rsid w:val="004D3876"/>
    <w:rsid w:val="004E4552"/>
    <w:rsid w:val="004E6CDF"/>
    <w:rsid w:val="00553C9D"/>
    <w:rsid w:val="00562A66"/>
    <w:rsid w:val="00597FEF"/>
    <w:rsid w:val="005A1AE9"/>
    <w:rsid w:val="005B064E"/>
    <w:rsid w:val="005C4084"/>
    <w:rsid w:val="005D51AE"/>
    <w:rsid w:val="0062674B"/>
    <w:rsid w:val="006363B2"/>
    <w:rsid w:val="00644940"/>
    <w:rsid w:val="006818A9"/>
    <w:rsid w:val="006A2D81"/>
    <w:rsid w:val="006C1D0D"/>
    <w:rsid w:val="006D5FA7"/>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05FA"/>
    <w:rsid w:val="00957589"/>
    <w:rsid w:val="00966D06"/>
    <w:rsid w:val="00977FC6"/>
    <w:rsid w:val="00982412"/>
    <w:rsid w:val="00983A8D"/>
    <w:rsid w:val="009A0DB8"/>
    <w:rsid w:val="009A7257"/>
    <w:rsid w:val="009D6E0A"/>
    <w:rsid w:val="009E1E33"/>
    <w:rsid w:val="00A14672"/>
    <w:rsid w:val="00A2303B"/>
    <w:rsid w:val="00A23E23"/>
    <w:rsid w:val="00A26BD6"/>
    <w:rsid w:val="00A443CF"/>
    <w:rsid w:val="00A6611D"/>
    <w:rsid w:val="00A82CB7"/>
    <w:rsid w:val="00A912A9"/>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47954"/>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A4A1E027-7F4E-4119-A077-92BBB2C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AE9"/>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5A1AE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A1AE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A1AE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A1AE9"/>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A1AE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5A1AE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A1AE9"/>
    <w:rPr>
      <w:sz w:val="36"/>
      <w:szCs w:val="52"/>
    </w:rPr>
  </w:style>
  <w:style w:type="paragraph" w:customStyle="1" w:styleId="Cover3-Haknesset">
    <w:name w:val="Cover 3-Haknesset"/>
    <w:basedOn w:val="Cover1-Reshumot"/>
    <w:rsid w:val="005A1AE9"/>
    <w:rPr>
      <w:b/>
      <w:bCs/>
      <w:spacing w:val="60"/>
    </w:rPr>
  </w:style>
  <w:style w:type="paragraph" w:customStyle="1" w:styleId="Cover4-Date">
    <w:name w:val="Cover 4-Date"/>
    <w:basedOn w:val="a"/>
    <w:rsid w:val="005A1AE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A1AE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A1AE9"/>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5A1AE9"/>
    <w:pPr>
      <w:spacing w:before="120" w:after="120"/>
    </w:pPr>
    <w:rPr>
      <w:color w:val="FF0000"/>
      <w:w w:val="80"/>
    </w:rPr>
  </w:style>
  <w:style w:type="paragraph" w:styleId="a3">
    <w:name w:val="endnote text"/>
    <w:basedOn w:val="a"/>
    <w:semiHidden/>
    <w:rsid w:val="005A1AE9"/>
    <w:pPr>
      <w:ind w:left="227" w:hanging="227"/>
    </w:pPr>
    <w:rPr>
      <w:sz w:val="14"/>
      <w:szCs w:val="22"/>
    </w:rPr>
  </w:style>
  <w:style w:type="paragraph" w:customStyle="1" w:styleId="TableText">
    <w:name w:val="Table Text"/>
    <w:basedOn w:val="a"/>
    <w:link w:val="TableText0"/>
    <w:rsid w:val="005A1AE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link w:val="TableSideHeading0"/>
    <w:rsid w:val="005A1AE9"/>
    <w:pPr>
      <w:outlineLvl w:val="2"/>
    </w:pPr>
  </w:style>
  <w:style w:type="paragraph" w:customStyle="1" w:styleId="TableBlock">
    <w:name w:val="Table Block"/>
    <w:basedOn w:val="TableText"/>
    <w:link w:val="TableBlock0"/>
    <w:rsid w:val="005A1AE9"/>
    <w:pPr>
      <w:jc w:val="both"/>
    </w:pPr>
  </w:style>
  <w:style w:type="paragraph" w:customStyle="1" w:styleId="TableHead">
    <w:name w:val="Table Head"/>
    <w:basedOn w:val="TableText"/>
    <w:rsid w:val="005A1AE9"/>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A1AE9"/>
    <w:pPr>
      <w:outlineLvl w:val="9"/>
    </w:pPr>
  </w:style>
  <w:style w:type="paragraph" w:customStyle="1" w:styleId="Hesber">
    <w:name w:val="Hesber"/>
    <w:basedOn w:val="a"/>
    <w:rsid w:val="005A1AE9"/>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5A1AE9"/>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5A1AE9"/>
    <w:rPr>
      <w:vertAlign w:val="superscript"/>
    </w:rPr>
  </w:style>
  <w:style w:type="paragraph" w:customStyle="1" w:styleId="HesberHeading">
    <w:name w:val="Hesber Heading"/>
    <w:basedOn w:val="Hesber"/>
    <w:rsid w:val="005A1AE9"/>
    <w:pPr>
      <w:tabs>
        <w:tab w:val="left" w:pos="624"/>
        <w:tab w:val="left" w:pos="1247"/>
      </w:tabs>
    </w:pPr>
    <w:rPr>
      <w:b/>
      <w:bCs/>
    </w:rPr>
  </w:style>
  <w:style w:type="paragraph" w:customStyle="1" w:styleId="HesberWriters">
    <w:name w:val="Hesber Writers"/>
    <w:basedOn w:val="Hesber"/>
    <w:rsid w:val="005A1AE9"/>
    <w:pPr>
      <w:spacing w:before="120" w:after="120"/>
      <w:ind w:left="1418"/>
      <w:jc w:val="right"/>
    </w:pPr>
    <w:rPr>
      <w:b/>
      <w:bCs/>
    </w:rPr>
  </w:style>
  <w:style w:type="paragraph" w:customStyle="1" w:styleId="Hesber1st">
    <w:name w:val="Hesber 1st"/>
    <w:basedOn w:val="Hesber"/>
    <w:rsid w:val="005A1AE9"/>
    <w:pPr>
      <w:tabs>
        <w:tab w:val="left" w:pos="680"/>
        <w:tab w:val="left" w:pos="1020"/>
      </w:tabs>
      <w:ind w:firstLine="0"/>
    </w:pPr>
  </w:style>
  <w:style w:type="character" w:styleId="a6">
    <w:name w:val="endnote reference"/>
    <w:basedOn w:val="a0"/>
    <w:semiHidden/>
    <w:rsid w:val="005A1AE9"/>
    <w:rPr>
      <w:vertAlign w:val="superscript"/>
    </w:rPr>
  </w:style>
  <w:style w:type="paragraph" w:customStyle="1" w:styleId="TableBlockOutdent">
    <w:name w:val="Table BlockOutdent"/>
    <w:basedOn w:val="TableBlock"/>
    <w:rsid w:val="005A1AE9"/>
    <w:pPr>
      <w:ind w:left="624" w:hanging="624"/>
    </w:pPr>
  </w:style>
  <w:style w:type="paragraph" w:styleId="a7">
    <w:name w:val="header"/>
    <w:basedOn w:val="a"/>
    <w:rsid w:val="005A1AE9"/>
    <w:pPr>
      <w:tabs>
        <w:tab w:val="center" w:pos="4153"/>
        <w:tab w:val="right" w:pos="8306"/>
      </w:tabs>
    </w:pPr>
  </w:style>
  <w:style w:type="paragraph" w:styleId="a8">
    <w:name w:val="footer"/>
    <w:basedOn w:val="a"/>
    <w:rsid w:val="005A1AE9"/>
    <w:pPr>
      <w:tabs>
        <w:tab w:val="center" w:pos="4153"/>
        <w:tab w:val="right" w:pos="8306"/>
      </w:tabs>
    </w:pPr>
  </w:style>
  <w:style w:type="paragraph" w:customStyle="1" w:styleId="HeadDivreiHesber">
    <w:name w:val="Head DivreiHesber"/>
    <w:basedOn w:val="a"/>
    <w:rsid w:val="005A1AE9"/>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5A1AE9"/>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5A1AE9"/>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TableSideHeading0">
    <w:name w:val="Table SideHeading תו"/>
    <w:link w:val="TableSideHeading"/>
    <w:locked/>
    <w:rsid w:val="00A2303B"/>
    <w:rPr>
      <w:rFonts w:ascii="Arial" w:eastAsia="Arial Unicode MS" w:hAnsi="Arial" w:cs="David"/>
      <w:snapToGrid w:val="0"/>
      <w:szCs w:val="26"/>
    </w:rPr>
  </w:style>
  <w:style w:type="character" w:customStyle="1" w:styleId="TableBlock0">
    <w:name w:val="Table Block תו"/>
    <w:link w:val="TableBlock"/>
    <w:locked/>
    <w:rsid w:val="00A2303B"/>
    <w:rPr>
      <w:rFonts w:ascii="Arial" w:eastAsia="Arial Unicode MS" w:hAnsi="Arial" w:cs="David"/>
      <w:snapToGrid w:val="0"/>
      <w:szCs w:val="26"/>
    </w:rPr>
  </w:style>
  <w:style w:type="character" w:customStyle="1" w:styleId="TableText0">
    <w:name w:val="Table Text תו"/>
    <w:link w:val="TableText"/>
    <w:rsid w:val="00A2303B"/>
    <w:rPr>
      <w:rFonts w:ascii="Arial" w:eastAsia="Arial Unicode MS" w:hAnsi="Arial" w:cs="David"/>
      <w:snapToGrid w:val="0"/>
      <w:szCs w:val="26"/>
    </w:rPr>
  </w:style>
  <w:style w:type="character" w:customStyle="1" w:styleId="10">
    <w:name w:val="כותרת 1 תו"/>
    <w:basedOn w:val="a0"/>
    <w:link w:val="1"/>
    <w:uiPriority w:val="9"/>
    <w:rsid w:val="005A1AE9"/>
    <w:rPr>
      <w:rFonts w:asciiTheme="majorHAnsi" w:eastAsiaTheme="majorEastAsia" w:hAnsiTheme="majorHAnsi" w:cs="David"/>
      <w:bCs/>
      <w:sz w:val="32"/>
      <w:szCs w:val="36"/>
    </w:rPr>
  </w:style>
  <w:style w:type="character" w:customStyle="1" w:styleId="20">
    <w:name w:val="כותרת 2 תו"/>
    <w:basedOn w:val="a0"/>
    <w:link w:val="2"/>
    <w:rsid w:val="005A1AE9"/>
    <w:rPr>
      <w:rFonts w:asciiTheme="majorHAnsi" w:eastAsiaTheme="majorEastAsia" w:hAnsiTheme="majorHAnsi" w:cs="David"/>
      <w:bCs/>
      <w:sz w:val="26"/>
      <w:szCs w:val="36"/>
      <w:u w:val="single"/>
    </w:rPr>
  </w:style>
  <w:style w:type="character" w:customStyle="1" w:styleId="30">
    <w:name w:val="כותרת 3 תו"/>
    <w:basedOn w:val="a0"/>
    <w:link w:val="3"/>
    <w:rsid w:val="005A1AE9"/>
    <w:rPr>
      <w:rFonts w:asciiTheme="majorHAnsi" w:eastAsiaTheme="majorEastAsia" w:hAnsiTheme="majorHAnsi" w:cs="David"/>
      <w:sz w:val="24"/>
      <w:szCs w:val="28"/>
      <w:u w:val="double"/>
    </w:rPr>
  </w:style>
  <w:style w:type="character" w:customStyle="1" w:styleId="40">
    <w:name w:val="כותרת 4 תו"/>
    <w:basedOn w:val="a0"/>
    <w:link w:val="4"/>
    <w:uiPriority w:val="9"/>
    <w:rsid w:val="005A1AE9"/>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5A1AE9"/>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5A1AE9"/>
    <w:pPr>
      <w:widowControl/>
      <w:spacing w:before="120" w:after="120"/>
      <w:outlineLvl w:val="9"/>
    </w:pPr>
    <w:rPr>
      <w:rtl/>
      <w:cs/>
    </w:rPr>
  </w:style>
  <w:style w:type="paragraph" w:styleId="TOC1">
    <w:name w:val="toc 1"/>
    <w:basedOn w:val="a"/>
    <w:next w:val="a"/>
    <w:autoRedefine/>
    <w:uiPriority w:val="39"/>
    <w:unhideWhenUsed/>
    <w:rsid w:val="005A1AE9"/>
    <w:pPr>
      <w:tabs>
        <w:tab w:val="right" w:leader="dot" w:pos="9629"/>
      </w:tabs>
      <w:spacing w:after="100"/>
    </w:pPr>
    <w:rPr>
      <w:bCs/>
      <w:szCs w:val="22"/>
    </w:rPr>
  </w:style>
  <w:style w:type="paragraph" w:styleId="TOC2">
    <w:name w:val="toc 2"/>
    <w:basedOn w:val="a"/>
    <w:next w:val="a"/>
    <w:uiPriority w:val="39"/>
    <w:unhideWhenUsed/>
    <w:rsid w:val="005A1AE9"/>
    <w:pPr>
      <w:tabs>
        <w:tab w:val="right" w:leader="dot" w:pos="9628"/>
      </w:tabs>
      <w:spacing w:after="100"/>
    </w:pPr>
    <w:rPr>
      <w:szCs w:val="22"/>
    </w:rPr>
  </w:style>
  <w:style w:type="character" w:styleId="Hyperlink">
    <w:name w:val="Hyperlink"/>
    <w:basedOn w:val="a0"/>
    <w:uiPriority w:val="99"/>
    <w:unhideWhenUsed/>
    <w:rsid w:val="005A1AE9"/>
    <w:rPr>
      <w:color w:val="0000FF" w:themeColor="hyperlink"/>
      <w:u w:val="single"/>
    </w:rPr>
  </w:style>
  <w:style w:type="paragraph" w:styleId="TOC3">
    <w:name w:val="toc 3"/>
    <w:basedOn w:val="a"/>
    <w:next w:val="a"/>
    <w:uiPriority w:val="39"/>
    <w:unhideWhenUsed/>
    <w:rsid w:val="005A1AE9"/>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5A1AE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A1AE9"/>
    <w:pPr>
      <w:tabs>
        <w:tab w:val="right" w:leader="dot" w:pos="9628"/>
      </w:tabs>
      <w:spacing w:after="100"/>
      <w:ind w:left="567"/>
    </w:pPr>
    <w:rPr>
      <w:szCs w:val="22"/>
    </w:rPr>
  </w:style>
  <w:style w:type="paragraph" w:styleId="TOC6">
    <w:name w:val="toc 6"/>
    <w:basedOn w:val="a"/>
    <w:next w:val="a"/>
    <w:autoRedefine/>
    <w:semiHidden/>
    <w:unhideWhenUsed/>
    <w:rsid w:val="005A1AE9"/>
    <w:pPr>
      <w:spacing w:after="100"/>
      <w:ind w:left="850"/>
    </w:pPr>
  </w:style>
  <w:style w:type="paragraph" w:styleId="TOC7">
    <w:name w:val="toc 7"/>
    <w:basedOn w:val="a"/>
    <w:next w:val="a"/>
    <w:autoRedefine/>
    <w:semiHidden/>
    <w:unhideWhenUsed/>
    <w:rsid w:val="005A1AE9"/>
    <w:pPr>
      <w:spacing w:after="100"/>
      <w:ind w:left="1020"/>
    </w:pPr>
  </w:style>
  <w:style w:type="paragraph" w:styleId="TOC8">
    <w:name w:val="toc 8"/>
    <w:basedOn w:val="a"/>
    <w:next w:val="a"/>
    <w:autoRedefine/>
    <w:semiHidden/>
    <w:unhideWhenUsed/>
    <w:rsid w:val="005A1AE9"/>
    <w:pPr>
      <w:spacing w:after="100"/>
      <w:ind w:left="1190"/>
    </w:pPr>
  </w:style>
  <w:style w:type="paragraph" w:styleId="TOC9">
    <w:name w:val="toc 9"/>
    <w:basedOn w:val="a"/>
    <w:next w:val="a"/>
    <w:autoRedefine/>
    <w:semiHidden/>
    <w:unhideWhenUsed/>
    <w:rsid w:val="005A1AE9"/>
    <w:pPr>
      <w:spacing w:after="100"/>
      <w:ind w:left="1360"/>
    </w:pPr>
  </w:style>
  <w:style w:type="paragraph" w:customStyle="1" w:styleId="TableHead2">
    <w:name w:val="Table Head2"/>
    <w:basedOn w:val="TableHead"/>
    <w:qFormat/>
    <w:rsid w:val="005A1AE9"/>
    <w:pPr>
      <w:outlineLvl w:val="9"/>
    </w:pPr>
  </w:style>
  <w:style w:type="paragraph" w:customStyle="1" w:styleId="TableSideHeading2">
    <w:name w:val="Table SideHeading2"/>
    <w:basedOn w:val="TableSideHeading"/>
    <w:autoRedefine/>
    <w:qFormat/>
    <w:rsid w:val="005A1AE9"/>
    <w:pPr>
      <w:keepLines w:val="0"/>
      <w:outlineLvl w:val="9"/>
    </w:pPr>
  </w:style>
  <w:style w:type="paragraph" w:customStyle="1" w:styleId="0">
    <w:name w:val="סגנון שורה ראשונה:  0  ס''מ"/>
    <w:basedOn w:val="2"/>
    <w:rsid w:val="005A1AE9"/>
    <w:rPr>
      <w:rFonts w:eastAsia="Times New Roman"/>
    </w:rPr>
  </w:style>
  <w:style w:type="paragraph" w:styleId="ae">
    <w:name w:val="List Paragraph"/>
    <w:basedOn w:val="a"/>
    <w:uiPriority w:val="34"/>
    <w:qFormat/>
    <w:rsid w:val="005A1AE9"/>
    <w:pPr>
      <w:widowControl/>
      <w:spacing w:line="259" w:lineRule="auto"/>
    </w:pPr>
    <w:rPr>
      <w:rFonts w:asciiTheme="minorHAnsi" w:hAnsiTheme="minorHAnsi"/>
      <w:sz w:val="22"/>
    </w:rPr>
  </w:style>
  <w:style w:type="table" w:styleId="af">
    <w:name w:val="Table Grid"/>
    <w:basedOn w:val="a1"/>
    <w:rsid w:val="005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A1A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A1A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5A1AE9"/>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A1AE9"/>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D360-513B-4DFC-AFAC-1DA7DDC3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80136BA-0CDE-4534-A087-690C1D54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428</Words>
  <Characters>2446</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אילת וולברג</cp:lastModifiedBy>
  <cp:revision>17</cp:revision>
  <cp:lastPrinted>2013-07-04T08:25:00Z</cp:lastPrinted>
  <dcterms:created xsi:type="dcterms:W3CDTF">2015-04-20T09:58:00Z</dcterms:created>
  <dcterms:modified xsi:type="dcterms:W3CDTF">2019-12-03T07:20:00Z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2082408</vt:r8>
  </property>
</Properties>
</file>