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2087200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אופיר סופר</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E26F199" w:rsidR="00E13C27" w:rsidRPr="00E06736" w:rsidRDefault="00904591" w:rsidP="005E5824">
      <w:pPr>
        <w:pStyle w:val="David"/>
        <w:spacing w:before="0" w:line="240" w:lineRule="auto"/>
        <w:ind w:left="3544"/>
        <w:rPr>
          <w:rtl/>
        </w:rPr>
      </w:pPr>
      <w:r>
        <w:t xml:space="preserve"> </w:t>
      </w:r>
      <w:bookmarkStart w:id="4" w:name="Private_Number"/>
      <w:r w:rsidR="005E5824">
        <w:rPr>
          <w:rtl/>
        </w:rPr>
        <w:tab/>
      </w:r>
      <w:r w:rsidR="005E5824">
        <w:rPr>
          <w:rtl/>
        </w:rPr>
        <w:tab/>
      </w:r>
      <w:r w:rsidR="005E5824">
        <w:rPr>
          <w:rtl/>
        </w:rPr>
        <w:tab/>
      </w:r>
      <w:r w:rsidR="005E5824">
        <w:rPr>
          <w:rtl/>
        </w:rPr>
        <w:tab/>
      </w:r>
      <w:r>
        <w:rPr>
          <w:rFonts w:hint="cs"/>
          <w:rtl/>
        </w:rPr>
        <w:t>פ/568/23</w:t>
      </w:r>
      <w:bookmarkEnd w:id="4"/>
    </w:p>
    <w:p w14:paraId="7F6961AC" w14:textId="77777777" w:rsidR="00E13C27" w:rsidRDefault="00E13C27" w:rsidP="00E13C27">
      <w:pPr>
        <w:spacing w:before="0" w:line="360" w:lineRule="auto"/>
        <w:ind w:left="2880" w:firstLine="720"/>
        <w:rPr>
          <w:rFonts w:cs="David"/>
          <w:sz w:val="26"/>
          <w:szCs w:val="26"/>
          <w:rtl/>
        </w:rPr>
      </w:pPr>
    </w:p>
    <w:p w14:paraId="13301C7A" w14:textId="440C5183" w:rsidR="00D53D89" w:rsidRDefault="00D53D89" w:rsidP="006F2C07">
      <w:pPr>
        <w:pStyle w:val="HeadHatzaotHok"/>
        <w:spacing w:before="0"/>
        <w:rPr>
          <w:rtl/>
        </w:rPr>
      </w:pPr>
      <w:r>
        <w:rPr>
          <w:rFonts w:hint="cs"/>
          <w:rtl/>
        </w:rPr>
        <w:t xml:space="preserve">הצעת חוק איסור הונאה בכשרות (תיקון </w:t>
      </w:r>
      <w:r>
        <w:rPr>
          <w:rFonts w:hint="eastAsia"/>
          <w:rtl/>
        </w:rPr>
        <w:t>–</w:t>
      </w:r>
      <w:r>
        <w:rPr>
          <w:rFonts w:hint="cs"/>
          <w:rtl/>
        </w:rPr>
        <w:t xml:space="preserve"> כללי</w:t>
      </w:r>
      <w:r w:rsidR="006F2C07">
        <w:rPr>
          <w:rFonts w:hint="cs"/>
          <w:rtl/>
        </w:rPr>
        <w:t xml:space="preserve">ם אחידים למתן תעודת הכשר), </w:t>
      </w:r>
      <w:proofErr w:type="spellStart"/>
      <w:r w:rsidR="006F2C07">
        <w:rPr>
          <w:rFonts w:hint="cs"/>
          <w:rtl/>
        </w:rPr>
        <w:t>התש"ף</w:t>
      </w:r>
      <w:proofErr w:type="spellEnd"/>
      <w:r w:rsidR="006F2C07" w:rsidRPr="006F2C07">
        <w:rPr>
          <w:rFonts w:hint="eastAsia"/>
          <w:rtl/>
        </w:rPr>
        <w:t>–</w:t>
      </w:r>
      <w:r>
        <w:rPr>
          <w:rFonts w:hint="cs"/>
          <w:rtl/>
        </w:rPr>
        <w:t>2020</w:t>
      </w:r>
    </w:p>
    <w:p w14:paraId="37C12C84" w14:textId="77777777" w:rsidR="00D53D89" w:rsidRDefault="00D53D89" w:rsidP="00D53D89">
      <w:pPr>
        <w:pStyle w:val="HeadHatzaotHok"/>
        <w:spacing w:before="0"/>
        <w:rPr>
          <w:rtl/>
        </w:rPr>
      </w:pPr>
    </w:p>
    <w:tbl>
      <w:tblPr>
        <w:bidiVisual/>
        <w:tblW w:w="9637" w:type="dxa"/>
        <w:tblLayout w:type="fixed"/>
        <w:tblCellMar>
          <w:top w:w="57" w:type="dxa"/>
          <w:left w:w="0" w:type="dxa"/>
          <w:bottom w:w="57" w:type="dxa"/>
          <w:right w:w="0" w:type="dxa"/>
        </w:tblCellMar>
        <w:tblLook w:val="01E0" w:firstRow="1" w:lastRow="1" w:firstColumn="1" w:lastColumn="1" w:noHBand="0" w:noVBand="0"/>
      </w:tblPr>
      <w:tblGrid>
        <w:gridCol w:w="1869"/>
        <w:gridCol w:w="623"/>
        <w:gridCol w:w="624"/>
        <w:gridCol w:w="625"/>
        <w:gridCol w:w="624"/>
        <w:gridCol w:w="624"/>
        <w:gridCol w:w="624"/>
        <w:gridCol w:w="4024"/>
      </w:tblGrid>
      <w:tr w:rsidR="00D53D89" w:rsidRPr="00E32A36" w14:paraId="7D1DE07D" w14:textId="77777777" w:rsidTr="0038078E">
        <w:trPr>
          <w:cantSplit/>
        </w:trPr>
        <w:tc>
          <w:tcPr>
            <w:tcW w:w="1869" w:type="dxa"/>
          </w:tcPr>
          <w:p w14:paraId="08D5A6A3" w14:textId="77777777" w:rsidR="00D53D89" w:rsidRPr="00E32A36" w:rsidRDefault="00D53D89" w:rsidP="0038078E">
            <w:pPr>
              <w:pStyle w:val="TableSideHeading"/>
              <w:ind w:right="0"/>
            </w:pPr>
            <w:r>
              <w:rPr>
                <w:rFonts w:hint="cs"/>
                <w:rtl/>
              </w:rPr>
              <w:t>הוספת סעיפים</w:t>
            </w:r>
            <w:r w:rsidRPr="00E32A36">
              <w:rPr>
                <w:rFonts w:hint="cs"/>
                <w:rtl/>
              </w:rPr>
              <w:t xml:space="preserve"> 2א</w:t>
            </w:r>
            <w:r>
              <w:rPr>
                <w:rFonts w:hint="cs"/>
                <w:rtl/>
              </w:rPr>
              <w:t xml:space="preserve"> ו-2ב</w:t>
            </w:r>
          </w:p>
        </w:tc>
        <w:tc>
          <w:tcPr>
            <w:tcW w:w="623" w:type="dxa"/>
          </w:tcPr>
          <w:p w14:paraId="07667729" w14:textId="77777777" w:rsidR="00D53D89" w:rsidRPr="00E32A36" w:rsidRDefault="00D53D89" w:rsidP="0038078E">
            <w:pPr>
              <w:pStyle w:val="TableText"/>
              <w:ind w:right="0"/>
              <w:jc w:val="both"/>
            </w:pPr>
            <w:r w:rsidRPr="00E32A36">
              <w:rPr>
                <w:rFonts w:hint="cs"/>
                <w:rtl/>
              </w:rPr>
              <w:t>1.</w:t>
            </w:r>
          </w:p>
        </w:tc>
        <w:tc>
          <w:tcPr>
            <w:tcW w:w="7145" w:type="dxa"/>
            <w:gridSpan w:val="6"/>
          </w:tcPr>
          <w:p w14:paraId="00F61F5D" w14:textId="77777777" w:rsidR="00D53D89" w:rsidRPr="00E32A36" w:rsidRDefault="00D53D89" w:rsidP="0038078E">
            <w:pPr>
              <w:pStyle w:val="TableBlock"/>
            </w:pPr>
            <w:r w:rsidRPr="00E32A36">
              <w:rPr>
                <w:rFonts w:hint="cs"/>
                <w:rtl/>
              </w:rPr>
              <w:t xml:space="preserve">בחוק איסור הונאה בכשרות, </w:t>
            </w:r>
            <w:proofErr w:type="spellStart"/>
            <w:r w:rsidRPr="00E32A36">
              <w:rPr>
                <w:rFonts w:hint="cs"/>
                <w:rtl/>
              </w:rPr>
              <w:t>התשמ"ג</w:t>
            </w:r>
            <w:proofErr w:type="spellEnd"/>
            <w:r w:rsidRPr="00E32A36">
              <w:t>–</w:t>
            </w:r>
            <w:r w:rsidRPr="00E32A36">
              <w:rPr>
                <w:rFonts w:hint="cs"/>
                <w:rtl/>
              </w:rPr>
              <w:t>1983</w:t>
            </w:r>
            <w:r>
              <w:rPr>
                <w:rStyle w:val="a6"/>
                <w:rtl/>
              </w:rPr>
              <w:footnoteReference w:id="2"/>
            </w:r>
            <w:r w:rsidRPr="00E32A36">
              <w:rPr>
                <w:rFonts w:hint="cs"/>
                <w:rtl/>
              </w:rPr>
              <w:t>, אחרי סעיף 2 יבוא:</w:t>
            </w:r>
            <w:r w:rsidRPr="00E32A36">
              <w:t xml:space="preserve">  </w:t>
            </w:r>
          </w:p>
        </w:tc>
      </w:tr>
      <w:tr w:rsidR="00D53D89" w:rsidRPr="00E32A36" w14:paraId="3514DF4B" w14:textId="77777777" w:rsidTr="0038078E">
        <w:trPr>
          <w:cantSplit/>
        </w:trPr>
        <w:tc>
          <w:tcPr>
            <w:tcW w:w="1869" w:type="dxa"/>
          </w:tcPr>
          <w:p w14:paraId="7E3A13F8" w14:textId="77777777" w:rsidR="00D53D89" w:rsidRPr="00E32A36" w:rsidRDefault="00D53D89" w:rsidP="0038078E">
            <w:pPr>
              <w:pStyle w:val="TableSideHeading"/>
              <w:keepLines w:val="0"/>
            </w:pPr>
          </w:p>
        </w:tc>
        <w:tc>
          <w:tcPr>
            <w:tcW w:w="623" w:type="dxa"/>
          </w:tcPr>
          <w:p w14:paraId="151D0084" w14:textId="77777777" w:rsidR="00D53D89" w:rsidRPr="00E32A36" w:rsidRDefault="00D53D89" w:rsidP="0038078E">
            <w:pPr>
              <w:pStyle w:val="TableText"/>
              <w:keepLines w:val="0"/>
            </w:pPr>
          </w:p>
        </w:tc>
        <w:tc>
          <w:tcPr>
            <w:tcW w:w="1873" w:type="dxa"/>
            <w:gridSpan w:val="3"/>
          </w:tcPr>
          <w:p w14:paraId="14A97F54" w14:textId="77777777" w:rsidR="00D53D89" w:rsidRPr="00E32A36" w:rsidRDefault="00D53D89" w:rsidP="0038078E">
            <w:pPr>
              <w:pStyle w:val="TableInnerSideHeading"/>
            </w:pPr>
            <w:r w:rsidRPr="00E32A36">
              <w:rPr>
                <w:rFonts w:hint="cs"/>
                <w:rtl/>
              </w:rPr>
              <w:t>"קביעת כללים אחידים למתן תעודת הכשר</w:t>
            </w:r>
          </w:p>
        </w:tc>
        <w:tc>
          <w:tcPr>
            <w:tcW w:w="624" w:type="dxa"/>
          </w:tcPr>
          <w:p w14:paraId="458675E8" w14:textId="77777777" w:rsidR="00D53D89" w:rsidRPr="00E32A36" w:rsidRDefault="00D53D89" w:rsidP="0038078E">
            <w:pPr>
              <w:pStyle w:val="TableText"/>
            </w:pPr>
            <w:r w:rsidRPr="00E32A36">
              <w:rPr>
                <w:rFonts w:hint="cs"/>
                <w:rtl/>
              </w:rPr>
              <w:t>2א.</w:t>
            </w:r>
          </w:p>
        </w:tc>
        <w:tc>
          <w:tcPr>
            <w:tcW w:w="4648" w:type="dxa"/>
            <w:gridSpan w:val="2"/>
          </w:tcPr>
          <w:p w14:paraId="52662E8E" w14:textId="77777777" w:rsidR="00D53D89" w:rsidRPr="00B12CE3" w:rsidRDefault="00D53D89" w:rsidP="00B12CE3">
            <w:pPr>
              <w:pStyle w:val="TableBlock"/>
            </w:pPr>
            <w:r w:rsidRPr="00B12CE3">
              <w:rPr>
                <w:rFonts w:hint="cs"/>
                <w:rtl/>
              </w:rPr>
              <w:t>(א)</w:t>
            </w:r>
            <w:r w:rsidRPr="00B12CE3">
              <w:rPr>
                <w:rtl/>
              </w:rPr>
              <w:tab/>
              <w:t>מועצת הרבנות הראשית לישראל רשאית לקבוע</w:t>
            </w:r>
            <w:r w:rsidRPr="00B12CE3">
              <w:rPr>
                <w:rFonts w:hint="cs"/>
                <w:rtl/>
              </w:rPr>
              <w:t xml:space="preserve"> </w:t>
            </w:r>
            <w:r w:rsidRPr="00B12CE3">
              <w:rPr>
                <w:rtl/>
              </w:rPr>
              <w:t xml:space="preserve">כללים </w:t>
            </w:r>
            <w:r w:rsidRPr="00B12CE3">
              <w:rPr>
                <w:rFonts w:hint="cs"/>
                <w:rtl/>
              </w:rPr>
              <w:t>אחידים</w:t>
            </w:r>
            <w:r w:rsidRPr="00B12CE3">
              <w:rPr>
                <w:rtl/>
              </w:rPr>
              <w:t xml:space="preserve"> למתן תעודת הכשר, בין </w:t>
            </w:r>
            <w:r w:rsidRPr="00B12CE3">
              <w:rPr>
                <w:rFonts w:hint="cs"/>
                <w:rtl/>
              </w:rPr>
              <w:t>היתר</w:t>
            </w:r>
            <w:r w:rsidRPr="00B12CE3">
              <w:rPr>
                <w:rtl/>
              </w:rPr>
              <w:t xml:space="preserve">, </w:t>
            </w:r>
            <w:proofErr w:type="spellStart"/>
            <w:r w:rsidRPr="00B12CE3">
              <w:rPr>
                <w:rtl/>
              </w:rPr>
              <w:t>בענינים</w:t>
            </w:r>
            <w:proofErr w:type="spellEnd"/>
            <w:r w:rsidRPr="00B12CE3">
              <w:rPr>
                <w:rtl/>
              </w:rPr>
              <w:t xml:space="preserve"> </w:t>
            </w:r>
            <w:r w:rsidRPr="00B12CE3">
              <w:rPr>
                <w:rFonts w:hint="cs"/>
                <w:rtl/>
              </w:rPr>
              <w:t>אלה</w:t>
            </w:r>
            <w:r w:rsidRPr="00B12CE3">
              <w:rPr>
                <w:rtl/>
              </w:rPr>
              <w:t>:</w:t>
            </w:r>
          </w:p>
        </w:tc>
      </w:tr>
      <w:tr w:rsidR="00D53D89" w:rsidRPr="00E32A36" w14:paraId="7A38FF54" w14:textId="77777777" w:rsidTr="0038078E">
        <w:trPr>
          <w:cantSplit/>
        </w:trPr>
        <w:tc>
          <w:tcPr>
            <w:tcW w:w="1869" w:type="dxa"/>
          </w:tcPr>
          <w:p w14:paraId="7CC714B0" w14:textId="77777777" w:rsidR="00D53D89" w:rsidRPr="00E32A36" w:rsidRDefault="00D53D89" w:rsidP="0038078E">
            <w:pPr>
              <w:pStyle w:val="TableSideHeading"/>
            </w:pPr>
          </w:p>
        </w:tc>
        <w:tc>
          <w:tcPr>
            <w:tcW w:w="623" w:type="dxa"/>
          </w:tcPr>
          <w:p w14:paraId="7C7198F9" w14:textId="77777777" w:rsidR="00D53D89" w:rsidRPr="00E32A36" w:rsidRDefault="00D53D89" w:rsidP="0038078E">
            <w:pPr>
              <w:pStyle w:val="TableText"/>
            </w:pPr>
          </w:p>
        </w:tc>
        <w:tc>
          <w:tcPr>
            <w:tcW w:w="624" w:type="dxa"/>
          </w:tcPr>
          <w:p w14:paraId="2D067E2C" w14:textId="77777777" w:rsidR="00D53D89" w:rsidRPr="00E32A36" w:rsidRDefault="00D53D89" w:rsidP="0038078E">
            <w:pPr>
              <w:pStyle w:val="TableText"/>
            </w:pPr>
          </w:p>
        </w:tc>
        <w:tc>
          <w:tcPr>
            <w:tcW w:w="625" w:type="dxa"/>
          </w:tcPr>
          <w:p w14:paraId="6D231F3F" w14:textId="77777777" w:rsidR="00D53D89" w:rsidRPr="00E32A36" w:rsidRDefault="00D53D89" w:rsidP="0038078E">
            <w:pPr>
              <w:pStyle w:val="TableText"/>
            </w:pPr>
          </w:p>
        </w:tc>
        <w:tc>
          <w:tcPr>
            <w:tcW w:w="624" w:type="dxa"/>
          </w:tcPr>
          <w:p w14:paraId="777295BD" w14:textId="77777777" w:rsidR="00D53D89" w:rsidRPr="00E32A36" w:rsidRDefault="00D53D89" w:rsidP="0038078E">
            <w:pPr>
              <w:pStyle w:val="TableText"/>
            </w:pPr>
          </w:p>
        </w:tc>
        <w:tc>
          <w:tcPr>
            <w:tcW w:w="624" w:type="dxa"/>
          </w:tcPr>
          <w:p w14:paraId="01E77C8F" w14:textId="77777777" w:rsidR="00D53D89" w:rsidRPr="00E32A36" w:rsidRDefault="00D53D89" w:rsidP="0038078E">
            <w:pPr>
              <w:pStyle w:val="TableText"/>
            </w:pPr>
          </w:p>
        </w:tc>
        <w:tc>
          <w:tcPr>
            <w:tcW w:w="624" w:type="dxa"/>
          </w:tcPr>
          <w:p w14:paraId="28A22808" w14:textId="77777777" w:rsidR="00D53D89" w:rsidRPr="00E32A36" w:rsidRDefault="00D53D89" w:rsidP="0038078E">
            <w:pPr>
              <w:pStyle w:val="TableText"/>
            </w:pPr>
          </w:p>
        </w:tc>
        <w:tc>
          <w:tcPr>
            <w:tcW w:w="4024" w:type="dxa"/>
          </w:tcPr>
          <w:p w14:paraId="6FE68995" w14:textId="77777777" w:rsidR="00D53D89" w:rsidRPr="00E32A36" w:rsidRDefault="00D53D89" w:rsidP="0038078E">
            <w:pPr>
              <w:pStyle w:val="TableBlock"/>
            </w:pPr>
            <w:r w:rsidRPr="00E32A36">
              <w:rPr>
                <w:rFonts w:hint="cs"/>
                <w:rtl/>
              </w:rPr>
              <w:t>(1)</w:t>
            </w:r>
            <w:r w:rsidRPr="00E32A36">
              <w:rPr>
                <w:rtl/>
              </w:rPr>
              <w:tab/>
              <w:t>קביעת רמות כשרות שונות ודרישות הכשרות ביחס לכל רמה;</w:t>
            </w:r>
          </w:p>
        </w:tc>
      </w:tr>
      <w:tr w:rsidR="00D53D89" w:rsidRPr="00E32A36" w14:paraId="71A76F4A" w14:textId="77777777" w:rsidTr="0038078E">
        <w:trPr>
          <w:cantSplit/>
        </w:trPr>
        <w:tc>
          <w:tcPr>
            <w:tcW w:w="1869" w:type="dxa"/>
          </w:tcPr>
          <w:p w14:paraId="77A8306C" w14:textId="77777777" w:rsidR="00D53D89" w:rsidRPr="00E32A36" w:rsidRDefault="00D53D89" w:rsidP="0038078E">
            <w:pPr>
              <w:pStyle w:val="TableSideHeading"/>
              <w:ind w:right="0"/>
            </w:pPr>
          </w:p>
        </w:tc>
        <w:tc>
          <w:tcPr>
            <w:tcW w:w="623" w:type="dxa"/>
          </w:tcPr>
          <w:p w14:paraId="0A56A9A1" w14:textId="77777777" w:rsidR="00D53D89" w:rsidRPr="00E32A36" w:rsidRDefault="00D53D89" w:rsidP="0038078E">
            <w:pPr>
              <w:pStyle w:val="TableText"/>
              <w:ind w:right="0"/>
              <w:jc w:val="both"/>
            </w:pPr>
          </w:p>
        </w:tc>
        <w:tc>
          <w:tcPr>
            <w:tcW w:w="624" w:type="dxa"/>
          </w:tcPr>
          <w:p w14:paraId="39B64BD9" w14:textId="77777777" w:rsidR="00D53D89" w:rsidRPr="00E32A36" w:rsidRDefault="00D53D89" w:rsidP="0038078E">
            <w:pPr>
              <w:pStyle w:val="TableText"/>
              <w:ind w:right="0"/>
              <w:jc w:val="both"/>
            </w:pPr>
          </w:p>
        </w:tc>
        <w:tc>
          <w:tcPr>
            <w:tcW w:w="625" w:type="dxa"/>
          </w:tcPr>
          <w:p w14:paraId="21888CD0" w14:textId="77777777" w:rsidR="00D53D89" w:rsidRPr="00E32A36" w:rsidRDefault="00D53D89" w:rsidP="0038078E">
            <w:pPr>
              <w:pStyle w:val="TableText"/>
              <w:ind w:right="0"/>
              <w:jc w:val="both"/>
              <w:rPr>
                <w:rtl/>
              </w:rPr>
            </w:pPr>
          </w:p>
        </w:tc>
        <w:tc>
          <w:tcPr>
            <w:tcW w:w="624" w:type="dxa"/>
          </w:tcPr>
          <w:p w14:paraId="0E8EDE42" w14:textId="77777777" w:rsidR="00D53D89" w:rsidRPr="00E32A36" w:rsidRDefault="00D53D89" w:rsidP="0038078E">
            <w:pPr>
              <w:pStyle w:val="TableText"/>
              <w:ind w:right="0"/>
              <w:jc w:val="both"/>
              <w:rPr>
                <w:rtl/>
              </w:rPr>
            </w:pPr>
          </w:p>
        </w:tc>
        <w:tc>
          <w:tcPr>
            <w:tcW w:w="624" w:type="dxa"/>
          </w:tcPr>
          <w:p w14:paraId="19F14386" w14:textId="77777777" w:rsidR="00D53D89" w:rsidRPr="00E32A36" w:rsidRDefault="00D53D89" w:rsidP="0038078E">
            <w:pPr>
              <w:pStyle w:val="TableText"/>
              <w:ind w:right="0"/>
              <w:jc w:val="both"/>
              <w:rPr>
                <w:rtl/>
              </w:rPr>
            </w:pPr>
          </w:p>
        </w:tc>
        <w:tc>
          <w:tcPr>
            <w:tcW w:w="624" w:type="dxa"/>
          </w:tcPr>
          <w:p w14:paraId="57B83256" w14:textId="77777777" w:rsidR="00D53D89" w:rsidRPr="00E32A36" w:rsidRDefault="00D53D89" w:rsidP="0038078E">
            <w:pPr>
              <w:pStyle w:val="TableText"/>
              <w:ind w:right="0"/>
              <w:jc w:val="both"/>
              <w:rPr>
                <w:rtl/>
              </w:rPr>
            </w:pPr>
          </w:p>
        </w:tc>
        <w:tc>
          <w:tcPr>
            <w:tcW w:w="4024" w:type="dxa"/>
          </w:tcPr>
          <w:p w14:paraId="506FF218" w14:textId="77777777" w:rsidR="00D53D89" w:rsidRPr="00E32A36" w:rsidRDefault="00D53D89" w:rsidP="0038078E">
            <w:pPr>
              <w:pStyle w:val="TableBlock"/>
              <w:rPr>
                <w:rtl/>
              </w:rPr>
            </w:pPr>
            <w:r w:rsidRPr="00E32A36">
              <w:rPr>
                <w:rFonts w:hint="cs"/>
                <w:rtl/>
              </w:rPr>
              <w:t>(2)</w:t>
            </w:r>
            <w:r w:rsidRPr="00E32A36">
              <w:rPr>
                <w:rtl/>
              </w:rPr>
              <w:tab/>
            </w:r>
            <w:r w:rsidRPr="00E32A36">
              <w:rPr>
                <w:rFonts w:hint="cs"/>
                <w:rtl/>
              </w:rPr>
              <w:t>התנאים לכשירותם והתאמתם של משגיחי כשרות;</w:t>
            </w:r>
          </w:p>
        </w:tc>
      </w:tr>
      <w:tr w:rsidR="00D53D89" w:rsidRPr="00E32A36" w14:paraId="4CDBDD18" w14:textId="77777777" w:rsidTr="0038078E">
        <w:trPr>
          <w:cantSplit/>
        </w:trPr>
        <w:tc>
          <w:tcPr>
            <w:tcW w:w="1869" w:type="dxa"/>
          </w:tcPr>
          <w:p w14:paraId="3F654B4A" w14:textId="77777777" w:rsidR="00D53D89" w:rsidRPr="00E32A36" w:rsidRDefault="00D53D89" w:rsidP="0038078E">
            <w:pPr>
              <w:pStyle w:val="TableSideHeading"/>
              <w:ind w:right="0"/>
              <w:rPr>
                <w:rtl/>
              </w:rPr>
            </w:pPr>
          </w:p>
        </w:tc>
        <w:tc>
          <w:tcPr>
            <w:tcW w:w="623" w:type="dxa"/>
          </w:tcPr>
          <w:p w14:paraId="2C0634D2" w14:textId="77777777" w:rsidR="00D53D89" w:rsidRPr="00E32A36" w:rsidRDefault="00D53D89" w:rsidP="0038078E">
            <w:pPr>
              <w:pStyle w:val="TableText"/>
              <w:ind w:right="0"/>
              <w:jc w:val="both"/>
            </w:pPr>
          </w:p>
        </w:tc>
        <w:tc>
          <w:tcPr>
            <w:tcW w:w="624" w:type="dxa"/>
          </w:tcPr>
          <w:p w14:paraId="05251517" w14:textId="77777777" w:rsidR="00D53D89" w:rsidRPr="00E32A36" w:rsidRDefault="00D53D89" w:rsidP="0038078E">
            <w:pPr>
              <w:pStyle w:val="TableText"/>
              <w:ind w:right="0"/>
              <w:jc w:val="both"/>
            </w:pPr>
          </w:p>
        </w:tc>
        <w:tc>
          <w:tcPr>
            <w:tcW w:w="625" w:type="dxa"/>
          </w:tcPr>
          <w:p w14:paraId="7AA6BAB1" w14:textId="77777777" w:rsidR="00D53D89" w:rsidRPr="00E32A36" w:rsidRDefault="00D53D89" w:rsidP="0038078E">
            <w:pPr>
              <w:pStyle w:val="TableText"/>
              <w:ind w:right="0"/>
              <w:jc w:val="both"/>
              <w:rPr>
                <w:rtl/>
              </w:rPr>
            </w:pPr>
          </w:p>
        </w:tc>
        <w:tc>
          <w:tcPr>
            <w:tcW w:w="624" w:type="dxa"/>
          </w:tcPr>
          <w:p w14:paraId="69550000" w14:textId="77777777" w:rsidR="00D53D89" w:rsidRPr="00E32A36" w:rsidRDefault="00D53D89" w:rsidP="0038078E">
            <w:pPr>
              <w:pStyle w:val="TableText"/>
              <w:ind w:right="0"/>
              <w:jc w:val="both"/>
              <w:rPr>
                <w:rtl/>
              </w:rPr>
            </w:pPr>
          </w:p>
        </w:tc>
        <w:tc>
          <w:tcPr>
            <w:tcW w:w="624" w:type="dxa"/>
          </w:tcPr>
          <w:p w14:paraId="7CEDE8D2" w14:textId="77777777" w:rsidR="00D53D89" w:rsidRPr="00E32A36" w:rsidRDefault="00D53D89" w:rsidP="0038078E">
            <w:pPr>
              <w:pStyle w:val="TableText"/>
              <w:ind w:right="0"/>
              <w:jc w:val="both"/>
              <w:rPr>
                <w:rtl/>
              </w:rPr>
            </w:pPr>
          </w:p>
        </w:tc>
        <w:tc>
          <w:tcPr>
            <w:tcW w:w="624" w:type="dxa"/>
          </w:tcPr>
          <w:p w14:paraId="4E09C4E9" w14:textId="77777777" w:rsidR="00D53D89" w:rsidRPr="00E32A36" w:rsidRDefault="00D53D89" w:rsidP="0038078E">
            <w:pPr>
              <w:pStyle w:val="TableText"/>
              <w:ind w:right="0"/>
              <w:jc w:val="both"/>
              <w:rPr>
                <w:rtl/>
              </w:rPr>
            </w:pPr>
          </w:p>
        </w:tc>
        <w:tc>
          <w:tcPr>
            <w:tcW w:w="4024" w:type="dxa"/>
          </w:tcPr>
          <w:p w14:paraId="67D40BF6" w14:textId="77777777" w:rsidR="00D53D89" w:rsidRPr="00E32A36" w:rsidRDefault="00D53D89" w:rsidP="0038078E">
            <w:pPr>
              <w:pStyle w:val="TableBlock"/>
              <w:rPr>
                <w:rtl/>
              </w:rPr>
            </w:pPr>
            <w:r w:rsidRPr="00E32A36">
              <w:rPr>
                <w:rFonts w:hint="cs"/>
                <w:rtl/>
              </w:rPr>
              <w:t>(3)</w:t>
            </w:r>
            <w:r w:rsidRPr="00E32A36">
              <w:rPr>
                <w:rtl/>
              </w:rPr>
              <w:tab/>
              <w:t>מסמכים שעל בעל בית האוכל או יצרן של מצרך להציג בפני הרב נותן תעודת ההכשר או מי שהסמיך לכך או בפני משגיח הכשרות במקום;</w:t>
            </w:r>
          </w:p>
        </w:tc>
      </w:tr>
      <w:tr w:rsidR="00D53D89" w:rsidRPr="00E32A36" w14:paraId="5BE4FC17" w14:textId="77777777" w:rsidTr="0038078E">
        <w:trPr>
          <w:cantSplit/>
        </w:trPr>
        <w:tc>
          <w:tcPr>
            <w:tcW w:w="1869" w:type="dxa"/>
          </w:tcPr>
          <w:p w14:paraId="29BDBDCF" w14:textId="77777777" w:rsidR="00D53D89" w:rsidRPr="00E32A36" w:rsidRDefault="00D53D89" w:rsidP="0038078E">
            <w:pPr>
              <w:pStyle w:val="TableSideHeading"/>
              <w:ind w:right="0"/>
              <w:rPr>
                <w:rtl/>
              </w:rPr>
            </w:pPr>
          </w:p>
        </w:tc>
        <w:tc>
          <w:tcPr>
            <w:tcW w:w="623" w:type="dxa"/>
          </w:tcPr>
          <w:p w14:paraId="6F276ABD" w14:textId="77777777" w:rsidR="00D53D89" w:rsidRPr="00E32A36" w:rsidRDefault="00D53D89" w:rsidP="0038078E">
            <w:pPr>
              <w:pStyle w:val="TableText"/>
              <w:ind w:right="0"/>
              <w:jc w:val="both"/>
            </w:pPr>
          </w:p>
        </w:tc>
        <w:tc>
          <w:tcPr>
            <w:tcW w:w="624" w:type="dxa"/>
          </w:tcPr>
          <w:p w14:paraId="5636CBDF" w14:textId="77777777" w:rsidR="00D53D89" w:rsidRPr="00E32A36" w:rsidRDefault="00D53D89" w:rsidP="0038078E">
            <w:pPr>
              <w:pStyle w:val="TableText"/>
              <w:ind w:right="0"/>
              <w:jc w:val="both"/>
            </w:pPr>
          </w:p>
        </w:tc>
        <w:tc>
          <w:tcPr>
            <w:tcW w:w="625" w:type="dxa"/>
          </w:tcPr>
          <w:p w14:paraId="0F38038E" w14:textId="77777777" w:rsidR="00D53D89" w:rsidRPr="00E32A36" w:rsidRDefault="00D53D89" w:rsidP="0038078E">
            <w:pPr>
              <w:pStyle w:val="TableText"/>
              <w:ind w:right="0"/>
              <w:jc w:val="both"/>
              <w:rPr>
                <w:rtl/>
              </w:rPr>
            </w:pPr>
          </w:p>
        </w:tc>
        <w:tc>
          <w:tcPr>
            <w:tcW w:w="624" w:type="dxa"/>
          </w:tcPr>
          <w:p w14:paraId="72ED1462" w14:textId="77777777" w:rsidR="00D53D89" w:rsidRPr="00E32A36" w:rsidRDefault="00D53D89" w:rsidP="0038078E">
            <w:pPr>
              <w:pStyle w:val="TableText"/>
              <w:ind w:right="0"/>
              <w:jc w:val="both"/>
              <w:rPr>
                <w:rtl/>
              </w:rPr>
            </w:pPr>
          </w:p>
        </w:tc>
        <w:tc>
          <w:tcPr>
            <w:tcW w:w="624" w:type="dxa"/>
          </w:tcPr>
          <w:p w14:paraId="0C33DD7B" w14:textId="77777777" w:rsidR="00D53D89" w:rsidRPr="00E32A36" w:rsidRDefault="00D53D89" w:rsidP="0038078E">
            <w:pPr>
              <w:pStyle w:val="TableText"/>
              <w:ind w:right="0"/>
              <w:jc w:val="both"/>
              <w:rPr>
                <w:rtl/>
              </w:rPr>
            </w:pPr>
          </w:p>
        </w:tc>
        <w:tc>
          <w:tcPr>
            <w:tcW w:w="624" w:type="dxa"/>
          </w:tcPr>
          <w:p w14:paraId="3CC45E1F" w14:textId="77777777" w:rsidR="00D53D89" w:rsidRPr="00E32A36" w:rsidRDefault="00D53D89" w:rsidP="0038078E">
            <w:pPr>
              <w:pStyle w:val="TableText"/>
              <w:ind w:right="0"/>
              <w:jc w:val="both"/>
              <w:rPr>
                <w:rtl/>
              </w:rPr>
            </w:pPr>
          </w:p>
        </w:tc>
        <w:tc>
          <w:tcPr>
            <w:tcW w:w="4024" w:type="dxa"/>
          </w:tcPr>
          <w:p w14:paraId="545BAC11" w14:textId="77777777" w:rsidR="00D53D89" w:rsidRPr="00E32A36" w:rsidRDefault="00D53D89" w:rsidP="0038078E">
            <w:pPr>
              <w:pStyle w:val="TableBlock"/>
              <w:rPr>
                <w:rtl/>
              </w:rPr>
            </w:pPr>
            <w:r w:rsidRPr="00E32A36">
              <w:rPr>
                <w:rFonts w:hint="cs"/>
                <w:rtl/>
              </w:rPr>
              <w:t>(4)</w:t>
            </w:r>
            <w:r w:rsidRPr="00E32A36">
              <w:rPr>
                <w:rtl/>
              </w:rPr>
              <w:tab/>
              <w:t>היקף שעות השגחה הנדרש לפי סיווג בית האוכל, מקום הייצור של המצרך, לפי העניין;</w:t>
            </w:r>
          </w:p>
        </w:tc>
      </w:tr>
      <w:tr w:rsidR="00D53D89" w:rsidRPr="00E32A36" w14:paraId="4D8FE283" w14:textId="77777777" w:rsidTr="0038078E">
        <w:trPr>
          <w:cantSplit/>
        </w:trPr>
        <w:tc>
          <w:tcPr>
            <w:tcW w:w="1869" w:type="dxa"/>
          </w:tcPr>
          <w:p w14:paraId="7AA7D81E" w14:textId="77777777" w:rsidR="00D53D89" w:rsidRPr="00E32A36" w:rsidRDefault="00D53D89" w:rsidP="0038078E">
            <w:pPr>
              <w:pStyle w:val="TableSideHeading"/>
              <w:ind w:right="0"/>
              <w:rPr>
                <w:rtl/>
              </w:rPr>
            </w:pPr>
          </w:p>
        </w:tc>
        <w:tc>
          <w:tcPr>
            <w:tcW w:w="623" w:type="dxa"/>
          </w:tcPr>
          <w:p w14:paraId="141AE7F8" w14:textId="77777777" w:rsidR="00D53D89" w:rsidRPr="00E32A36" w:rsidRDefault="00D53D89" w:rsidP="0038078E">
            <w:pPr>
              <w:pStyle w:val="TableText"/>
              <w:ind w:right="0"/>
              <w:jc w:val="both"/>
            </w:pPr>
          </w:p>
        </w:tc>
        <w:tc>
          <w:tcPr>
            <w:tcW w:w="624" w:type="dxa"/>
          </w:tcPr>
          <w:p w14:paraId="6741CC50" w14:textId="77777777" w:rsidR="00D53D89" w:rsidRPr="00E32A36" w:rsidRDefault="00D53D89" w:rsidP="0038078E">
            <w:pPr>
              <w:pStyle w:val="TableText"/>
              <w:ind w:right="0"/>
              <w:jc w:val="both"/>
            </w:pPr>
          </w:p>
        </w:tc>
        <w:tc>
          <w:tcPr>
            <w:tcW w:w="625" w:type="dxa"/>
          </w:tcPr>
          <w:p w14:paraId="6248143E" w14:textId="77777777" w:rsidR="00D53D89" w:rsidRPr="00E32A36" w:rsidRDefault="00D53D89" w:rsidP="0038078E">
            <w:pPr>
              <w:pStyle w:val="TableText"/>
              <w:ind w:right="0"/>
              <w:jc w:val="both"/>
              <w:rPr>
                <w:rtl/>
              </w:rPr>
            </w:pPr>
          </w:p>
        </w:tc>
        <w:tc>
          <w:tcPr>
            <w:tcW w:w="624" w:type="dxa"/>
          </w:tcPr>
          <w:p w14:paraId="023D800B" w14:textId="77777777" w:rsidR="00D53D89" w:rsidRPr="00E32A36" w:rsidRDefault="00D53D89" w:rsidP="0038078E">
            <w:pPr>
              <w:pStyle w:val="TableText"/>
              <w:ind w:right="0"/>
              <w:jc w:val="both"/>
              <w:rPr>
                <w:rtl/>
              </w:rPr>
            </w:pPr>
          </w:p>
        </w:tc>
        <w:tc>
          <w:tcPr>
            <w:tcW w:w="624" w:type="dxa"/>
          </w:tcPr>
          <w:p w14:paraId="0C65E098" w14:textId="77777777" w:rsidR="00D53D89" w:rsidRPr="00E32A36" w:rsidRDefault="00D53D89" w:rsidP="0038078E">
            <w:pPr>
              <w:pStyle w:val="TableText"/>
              <w:ind w:right="0"/>
              <w:jc w:val="both"/>
              <w:rPr>
                <w:rtl/>
              </w:rPr>
            </w:pPr>
          </w:p>
        </w:tc>
        <w:tc>
          <w:tcPr>
            <w:tcW w:w="624" w:type="dxa"/>
          </w:tcPr>
          <w:p w14:paraId="3B65DC59" w14:textId="77777777" w:rsidR="00D53D89" w:rsidRPr="00E32A36" w:rsidRDefault="00D53D89" w:rsidP="0038078E">
            <w:pPr>
              <w:pStyle w:val="TableText"/>
              <w:ind w:right="0"/>
              <w:jc w:val="both"/>
              <w:rPr>
                <w:rtl/>
              </w:rPr>
            </w:pPr>
          </w:p>
        </w:tc>
        <w:tc>
          <w:tcPr>
            <w:tcW w:w="4024" w:type="dxa"/>
          </w:tcPr>
          <w:p w14:paraId="4DC3047C" w14:textId="77777777" w:rsidR="00D53D89" w:rsidRPr="00E32A36" w:rsidRDefault="00D53D89" w:rsidP="0038078E">
            <w:pPr>
              <w:pStyle w:val="TableBlock"/>
              <w:rPr>
                <w:rtl/>
              </w:rPr>
            </w:pPr>
            <w:r w:rsidRPr="00E32A36">
              <w:rPr>
                <w:rFonts w:hint="cs"/>
                <w:rtl/>
              </w:rPr>
              <w:t>(5)</w:t>
            </w:r>
            <w:r w:rsidRPr="00E32A36">
              <w:rPr>
                <w:rtl/>
              </w:rPr>
              <w:tab/>
              <w:t>כל עניין אחר הדרוש לשם שמירה על דיני הכשרות</w:t>
            </w:r>
            <w:r>
              <w:rPr>
                <w:rFonts w:hint="cs"/>
                <w:rtl/>
              </w:rPr>
              <w:t>.</w:t>
            </w:r>
          </w:p>
        </w:tc>
      </w:tr>
      <w:tr w:rsidR="00D53D89" w:rsidRPr="00E32A36" w14:paraId="01128033" w14:textId="77777777" w:rsidTr="0038078E">
        <w:trPr>
          <w:cantSplit/>
        </w:trPr>
        <w:tc>
          <w:tcPr>
            <w:tcW w:w="1869" w:type="dxa"/>
          </w:tcPr>
          <w:p w14:paraId="23F190C9" w14:textId="77777777" w:rsidR="00D53D89" w:rsidRPr="00E32A36" w:rsidRDefault="00D53D89" w:rsidP="0038078E">
            <w:pPr>
              <w:pStyle w:val="TableSideHeading"/>
              <w:ind w:right="0"/>
              <w:rPr>
                <w:rtl/>
              </w:rPr>
            </w:pPr>
          </w:p>
        </w:tc>
        <w:tc>
          <w:tcPr>
            <w:tcW w:w="623" w:type="dxa"/>
          </w:tcPr>
          <w:p w14:paraId="054C36A8" w14:textId="77777777" w:rsidR="00D53D89" w:rsidRPr="00E32A36" w:rsidRDefault="00D53D89" w:rsidP="0038078E">
            <w:pPr>
              <w:pStyle w:val="TableText"/>
              <w:ind w:right="0"/>
              <w:jc w:val="both"/>
            </w:pPr>
          </w:p>
        </w:tc>
        <w:tc>
          <w:tcPr>
            <w:tcW w:w="624" w:type="dxa"/>
          </w:tcPr>
          <w:p w14:paraId="57D97105" w14:textId="77777777" w:rsidR="00D53D89" w:rsidRPr="00E32A36" w:rsidRDefault="00D53D89" w:rsidP="0038078E">
            <w:pPr>
              <w:pStyle w:val="TableText"/>
              <w:ind w:right="0"/>
              <w:jc w:val="both"/>
            </w:pPr>
          </w:p>
        </w:tc>
        <w:tc>
          <w:tcPr>
            <w:tcW w:w="625" w:type="dxa"/>
          </w:tcPr>
          <w:p w14:paraId="4BD1AA2D" w14:textId="77777777" w:rsidR="00D53D89" w:rsidRPr="00E32A36" w:rsidDel="00F35C30" w:rsidRDefault="00D53D89" w:rsidP="0038078E">
            <w:pPr>
              <w:pStyle w:val="TableText"/>
              <w:ind w:right="0"/>
              <w:jc w:val="both"/>
              <w:rPr>
                <w:rtl/>
              </w:rPr>
            </w:pPr>
          </w:p>
        </w:tc>
        <w:tc>
          <w:tcPr>
            <w:tcW w:w="624" w:type="dxa"/>
          </w:tcPr>
          <w:p w14:paraId="457A66A0" w14:textId="77777777" w:rsidR="00D53D89" w:rsidRPr="00E32A36" w:rsidDel="00F35C30" w:rsidRDefault="00D53D89" w:rsidP="0038078E">
            <w:pPr>
              <w:pStyle w:val="TableText"/>
              <w:ind w:right="0"/>
              <w:jc w:val="both"/>
              <w:rPr>
                <w:rtl/>
              </w:rPr>
            </w:pPr>
          </w:p>
        </w:tc>
        <w:tc>
          <w:tcPr>
            <w:tcW w:w="624" w:type="dxa"/>
          </w:tcPr>
          <w:p w14:paraId="03BFDFA5" w14:textId="77777777" w:rsidR="00D53D89" w:rsidRPr="00E32A36" w:rsidRDefault="00D53D89" w:rsidP="0038078E">
            <w:pPr>
              <w:pStyle w:val="TableText"/>
              <w:ind w:right="0"/>
              <w:jc w:val="both"/>
              <w:rPr>
                <w:rtl/>
              </w:rPr>
            </w:pPr>
          </w:p>
        </w:tc>
        <w:tc>
          <w:tcPr>
            <w:tcW w:w="4648" w:type="dxa"/>
            <w:gridSpan w:val="2"/>
          </w:tcPr>
          <w:p w14:paraId="72F37669" w14:textId="77777777" w:rsidR="00D53D89" w:rsidRPr="00E32A36" w:rsidRDefault="00D53D89" w:rsidP="0038078E">
            <w:pPr>
              <w:pStyle w:val="TableBlock"/>
              <w:rPr>
                <w:rtl/>
              </w:rPr>
            </w:pPr>
            <w:r w:rsidRPr="00E32A36">
              <w:rPr>
                <w:rFonts w:hint="cs"/>
                <w:rtl/>
              </w:rPr>
              <w:t>(ב)</w:t>
            </w:r>
            <w:r w:rsidRPr="00E32A36">
              <w:rPr>
                <w:rtl/>
              </w:rPr>
              <w:tab/>
              <w:t xml:space="preserve">נקבעו כללים </w:t>
            </w:r>
            <w:r w:rsidRPr="00E32A36">
              <w:rPr>
                <w:rFonts w:hint="cs"/>
                <w:rtl/>
              </w:rPr>
              <w:t>כאמור ב</w:t>
            </w:r>
            <w:r w:rsidRPr="00E32A36">
              <w:rPr>
                <w:rtl/>
              </w:rPr>
              <w:t>סעיף קטן (א</w:t>
            </w:r>
            <w:r>
              <w:rPr>
                <w:rtl/>
              </w:rPr>
              <w:t>), לא ייתן רב  נותן תעודת ההכשר</w:t>
            </w:r>
            <w:r w:rsidRPr="00E32A36">
              <w:rPr>
                <w:rtl/>
              </w:rPr>
              <w:t xml:space="preserve"> תעודה כאמור, אלא בהתאם לכללים האמורים.</w:t>
            </w:r>
          </w:p>
        </w:tc>
      </w:tr>
      <w:tr w:rsidR="00D53D89" w:rsidRPr="00E32A36" w14:paraId="6EC3AC39" w14:textId="77777777" w:rsidTr="0038078E">
        <w:trPr>
          <w:cantSplit/>
        </w:trPr>
        <w:tc>
          <w:tcPr>
            <w:tcW w:w="1869" w:type="dxa"/>
          </w:tcPr>
          <w:p w14:paraId="3DCCE74A" w14:textId="77777777" w:rsidR="00D53D89" w:rsidRPr="00E32A36" w:rsidRDefault="00D53D89" w:rsidP="0038078E">
            <w:pPr>
              <w:pStyle w:val="TableSideHeading"/>
              <w:ind w:right="0"/>
              <w:rPr>
                <w:rtl/>
              </w:rPr>
            </w:pPr>
          </w:p>
        </w:tc>
        <w:tc>
          <w:tcPr>
            <w:tcW w:w="623" w:type="dxa"/>
          </w:tcPr>
          <w:p w14:paraId="78D1D5A7" w14:textId="77777777" w:rsidR="00D53D89" w:rsidRPr="00E32A36" w:rsidRDefault="00D53D89" w:rsidP="0038078E">
            <w:pPr>
              <w:pStyle w:val="TableText"/>
            </w:pPr>
          </w:p>
        </w:tc>
        <w:tc>
          <w:tcPr>
            <w:tcW w:w="624" w:type="dxa"/>
          </w:tcPr>
          <w:p w14:paraId="24FE4FD2" w14:textId="77777777" w:rsidR="00D53D89" w:rsidRPr="00E32A36" w:rsidRDefault="00D53D89" w:rsidP="0038078E">
            <w:pPr>
              <w:pStyle w:val="TableText"/>
              <w:ind w:right="0"/>
              <w:jc w:val="both"/>
            </w:pPr>
          </w:p>
        </w:tc>
        <w:tc>
          <w:tcPr>
            <w:tcW w:w="625" w:type="dxa"/>
          </w:tcPr>
          <w:p w14:paraId="4B48F159" w14:textId="77777777" w:rsidR="00D53D89" w:rsidRPr="00E32A36" w:rsidDel="00F35C30" w:rsidRDefault="00D53D89" w:rsidP="0038078E">
            <w:pPr>
              <w:pStyle w:val="TableText"/>
              <w:ind w:right="0"/>
              <w:jc w:val="both"/>
              <w:rPr>
                <w:rtl/>
              </w:rPr>
            </w:pPr>
          </w:p>
        </w:tc>
        <w:tc>
          <w:tcPr>
            <w:tcW w:w="624" w:type="dxa"/>
          </w:tcPr>
          <w:p w14:paraId="485FB6CD" w14:textId="77777777" w:rsidR="00D53D89" w:rsidRPr="00E32A36" w:rsidDel="00F35C30" w:rsidRDefault="00D53D89" w:rsidP="0038078E">
            <w:pPr>
              <w:pStyle w:val="TableText"/>
              <w:ind w:right="0"/>
              <w:jc w:val="both"/>
              <w:rPr>
                <w:rtl/>
              </w:rPr>
            </w:pPr>
          </w:p>
        </w:tc>
        <w:tc>
          <w:tcPr>
            <w:tcW w:w="624" w:type="dxa"/>
          </w:tcPr>
          <w:p w14:paraId="1AF4BDA7" w14:textId="77777777" w:rsidR="00D53D89" w:rsidRPr="00E32A36" w:rsidRDefault="00D53D89" w:rsidP="0038078E">
            <w:pPr>
              <w:pStyle w:val="TableText"/>
              <w:ind w:right="0"/>
              <w:jc w:val="both"/>
              <w:rPr>
                <w:rtl/>
              </w:rPr>
            </w:pPr>
          </w:p>
        </w:tc>
        <w:tc>
          <w:tcPr>
            <w:tcW w:w="4648" w:type="dxa"/>
            <w:gridSpan w:val="2"/>
          </w:tcPr>
          <w:p w14:paraId="3A1C67B7" w14:textId="77777777" w:rsidR="00D53D89" w:rsidRPr="00E32A36" w:rsidRDefault="00D53D89" w:rsidP="0038078E">
            <w:pPr>
              <w:pStyle w:val="TableBlock"/>
              <w:rPr>
                <w:rtl/>
              </w:rPr>
            </w:pPr>
            <w:r w:rsidRPr="00E32A36">
              <w:rPr>
                <w:rFonts w:hint="cs"/>
                <w:rtl/>
              </w:rPr>
              <w:t>(ג)</w:t>
            </w:r>
            <w:r w:rsidRPr="00E32A36">
              <w:rPr>
                <w:rtl/>
              </w:rPr>
              <w:tab/>
            </w:r>
            <w:r w:rsidRPr="00E32A36">
              <w:rPr>
                <w:rFonts w:hint="cs"/>
                <w:rtl/>
              </w:rPr>
              <w:t>הכללים יפורסמו באתר האינטרנט של הרבנות הראשית לישראל וברשומות.</w:t>
            </w:r>
          </w:p>
        </w:tc>
      </w:tr>
      <w:tr w:rsidR="00D53D89" w:rsidRPr="00E32A36" w14:paraId="505AA8F4" w14:textId="77777777" w:rsidTr="0038078E">
        <w:trPr>
          <w:cantSplit/>
        </w:trPr>
        <w:tc>
          <w:tcPr>
            <w:tcW w:w="1869" w:type="dxa"/>
          </w:tcPr>
          <w:p w14:paraId="63B2F141" w14:textId="77777777" w:rsidR="00D53D89" w:rsidRPr="00E32A36" w:rsidRDefault="00D53D89" w:rsidP="0038078E">
            <w:pPr>
              <w:pStyle w:val="TableSideHeading"/>
              <w:keepLines w:val="0"/>
            </w:pPr>
          </w:p>
        </w:tc>
        <w:tc>
          <w:tcPr>
            <w:tcW w:w="623" w:type="dxa"/>
          </w:tcPr>
          <w:p w14:paraId="62DE2FD7" w14:textId="77777777" w:rsidR="00D53D89" w:rsidRPr="00E32A36" w:rsidRDefault="00D53D89" w:rsidP="0038078E">
            <w:pPr>
              <w:pStyle w:val="TableText"/>
              <w:keepLines w:val="0"/>
            </w:pPr>
          </w:p>
        </w:tc>
        <w:tc>
          <w:tcPr>
            <w:tcW w:w="1873" w:type="dxa"/>
            <w:gridSpan w:val="3"/>
          </w:tcPr>
          <w:p w14:paraId="00DE3429" w14:textId="77777777" w:rsidR="00D53D89" w:rsidRPr="00E32A36" w:rsidRDefault="00D53D89" w:rsidP="0038078E">
            <w:pPr>
              <w:pStyle w:val="TableInnerSideHeading"/>
            </w:pPr>
            <w:r w:rsidRPr="00E32A36">
              <w:rPr>
                <w:rFonts w:hint="cs"/>
                <w:rtl/>
              </w:rPr>
              <w:t>ועדה לביטול הסמכת רב נותן הכשר</w:t>
            </w:r>
          </w:p>
        </w:tc>
        <w:tc>
          <w:tcPr>
            <w:tcW w:w="624" w:type="dxa"/>
          </w:tcPr>
          <w:p w14:paraId="6783AF55" w14:textId="77777777" w:rsidR="00D53D89" w:rsidRPr="00E32A36" w:rsidRDefault="00D53D89" w:rsidP="0038078E">
            <w:pPr>
              <w:pStyle w:val="TableText"/>
            </w:pPr>
            <w:r w:rsidRPr="00E32A36">
              <w:rPr>
                <w:rFonts w:hint="cs"/>
                <w:rtl/>
              </w:rPr>
              <w:t>2ב.</w:t>
            </w:r>
          </w:p>
        </w:tc>
        <w:tc>
          <w:tcPr>
            <w:tcW w:w="4648" w:type="dxa"/>
            <w:gridSpan w:val="2"/>
          </w:tcPr>
          <w:p w14:paraId="41EA30B0" w14:textId="77777777" w:rsidR="00D53D89" w:rsidRPr="00E32A36" w:rsidRDefault="00D53D89" w:rsidP="0038078E">
            <w:pPr>
              <w:pStyle w:val="TableBlock"/>
            </w:pPr>
            <w:r w:rsidRPr="00E32A36">
              <w:rPr>
                <w:rFonts w:ascii="Times New Roman" w:hAnsi="Times New Roman" w:hint="cs"/>
                <w:sz w:val="26"/>
                <w:rtl/>
              </w:rPr>
              <w:t>(א)</w:t>
            </w:r>
            <w:r w:rsidRPr="00E32A36">
              <w:rPr>
                <w:rFonts w:ascii="Times New Roman" w:hAnsi="Times New Roman"/>
                <w:sz w:val="26"/>
                <w:rtl/>
              </w:rPr>
              <w:tab/>
            </w:r>
            <w:r w:rsidRPr="00E32A36">
              <w:rPr>
                <w:rFonts w:ascii="Times New Roman" w:hAnsi="Times New Roman" w:hint="eastAsia"/>
                <w:sz w:val="26"/>
                <w:rtl/>
              </w:rPr>
              <w:t>ועדה</w:t>
            </w:r>
            <w:r w:rsidRPr="00E32A36">
              <w:rPr>
                <w:rFonts w:ascii="Times New Roman" w:hAnsi="Times New Roman"/>
                <w:sz w:val="26"/>
                <w:rtl/>
              </w:rPr>
              <w:t xml:space="preserve"> </w:t>
            </w:r>
            <w:r w:rsidRPr="00E32A36">
              <w:rPr>
                <w:rFonts w:ascii="Times New Roman" w:hAnsi="Times New Roman" w:hint="cs"/>
                <w:sz w:val="26"/>
                <w:rtl/>
              </w:rPr>
              <w:t xml:space="preserve">שמינתה מועצת הרבנות הראשית לישראל </w:t>
            </w:r>
            <w:r w:rsidRPr="00E32A36">
              <w:rPr>
                <w:rFonts w:ascii="Times New Roman" w:hAnsi="Times New Roman" w:hint="eastAsia"/>
                <w:sz w:val="26"/>
                <w:rtl/>
              </w:rPr>
              <w:t>רשאית</w:t>
            </w:r>
            <w:r w:rsidRPr="00E32A36">
              <w:rPr>
                <w:rFonts w:ascii="Times New Roman" w:hAnsi="Times New Roman" w:hint="cs"/>
                <w:sz w:val="26"/>
                <w:rtl/>
              </w:rPr>
              <w:t xml:space="preserve"> </w:t>
            </w:r>
            <w:r w:rsidRPr="00E32A36">
              <w:rPr>
                <w:rFonts w:ascii="Times New Roman" w:hAnsi="Times New Roman" w:hint="eastAsia"/>
                <w:sz w:val="26"/>
                <w:rtl/>
              </w:rPr>
              <w:t>ל</w:t>
            </w:r>
            <w:r w:rsidRPr="00E32A36">
              <w:rPr>
                <w:rFonts w:ascii="Times New Roman" w:hAnsi="Times New Roman" w:hint="cs"/>
                <w:sz w:val="26"/>
                <w:rtl/>
              </w:rPr>
              <w:t>קבוע כי תבוטל הסמכתו של רב נותן תעודת הכשר,</w:t>
            </w:r>
            <w:r w:rsidRPr="00E32A36">
              <w:rPr>
                <w:rFonts w:ascii="Times New Roman" w:hAnsi="Times New Roman"/>
                <w:sz w:val="26"/>
                <w:rtl/>
              </w:rPr>
              <w:t xml:space="preserve"> </w:t>
            </w:r>
            <w:r w:rsidRPr="00E32A36">
              <w:rPr>
                <w:rFonts w:ascii="Times New Roman" w:hAnsi="Times New Roman" w:hint="eastAsia"/>
                <w:sz w:val="26"/>
                <w:rtl/>
              </w:rPr>
              <w:t>אם</w:t>
            </w:r>
            <w:r w:rsidRPr="00E32A36">
              <w:rPr>
                <w:rFonts w:ascii="Times New Roman" w:hAnsi="Times New Roman"/>
                <w:sz w:val="26"/>
                <w:rtl/>
              </w:rPr>
              <w:t xml:space="preserve"> </w:t>
            </w:r>
            <w:r w:rsidRPr="00E32A36">
              <w:rPr>
                <w:rFonts w:ascii="Times New Roman" w:hAnsi="Times New Roman" w:hint="eastAsia"/>
                <w:sz w:val="26"/>
                <w:rtl/>
              </w:rPr>
              <w:t>ראתה</w:t>
            </w:r>
            <w:r w:rsidRPr="00E32A36">
              <w:rPr>
                <w:rFonts w:ascii="Times New Roman" w:hAnsi="Times New Roman"/>
                <w:sz w:val="26"/>
                <w:rtl/>
              </w:rPr>
              <w:t xml:space="preserve"> </w:t>
            </w:r>
            <w:r w:rsidRPr="00E32A36">
              <w:rPr>
                <w:rFonts w:ascii="Times New Roman" w:hAnsi="Times New Roman" w:hint="eastAsia"/>
                <w:sz w:val="26"/>
                <w:rtl/>
              </w:rPr>
              <w:t>שהרב</w:t>
            </w:r>
            <w:r w:rsidRPr="00E32A36">
              <w:rPr>
                <w:rFonts w:ascii="Times New Roman" w:hAnsi="Times New Roman"/>
                <w:sz w:val="26"/>
                <w:rtl/>
              </w:rPr>
              <w:t xml:space="preserve"> </w:t>
            </w:r>
            <w:r w:rsidRPr="00E32A36">
              <w:rPr>
                <w:rFonts w:ascii="Times New Roman" w:hAnsi="Times New Roman" w:hint="eastAsia"/>
                <w:sz w:val="26"/>
                <w:rtl/>
              </w:rPr>
              <w:t>פועל</w:t>
            </w:r>
            <w:r w:rsidRPr="00E32A36">
              <w:rPr>
                <w:rFonts w:ascii="Times New Roman" w:hAnsi="Times New Roman"/>
                <w:sz w:val="26"/>
                <w:rtl/>
              </w:rPr>
              <w:t xml:space="preserve"> </w:t>
            </w:r>
            <w:r w:rsidRPr="00E32A36">
              <w:rPr>
                <w:rFonts w:ascii="Times New Roman" w:hAnsi="Times New Roman" w:hint="cs"/>
                <w:sz w:val="26"/>
                <w:rtl/>
              </w:rPr>
              <w:t xml:space="preserve">שלא בהתאם </w:t>
            </w:r>
            <w:r w:rsidRPr="00E32A36">
              <w:rPr>
                <w:rFonts w:ascii="Times New Roman" w:hAnsi="Times New Roman" w:hint="eastAsia"/>
                <w:sz w:val="26"/>
                <w:rtl/>
              </w:rPr>
              <w:t>ל</w:t>
            </w:r>
            <w:r w:rsidRPr="00E32A36">
              <w:rPr>
                <w:rFonts w:ascii="Times New Roman" w:hAnsi="Times New Roman" w:hint="cs"/>
                <w:sz w:val="26"/>
                <w:rtl/>
              </w:rPr>
              <w:t>כללים</w:t>
            </w:r>
            <w:r w:rsidRPr="00E32A36">
              <w:rPr>
                <w:rFonts w:ascii="Times New Roman" w:hAnsi="Times New Roman"/>
                <w:sz w:val="26"/>
                <w:rtl/>
              </w:rPr>
              <w:t xml:space="preserve"> </w:t>
            </w:r>
            <w:r w:rsidRPr="00E32A36">
              <w:rPr>
                <w:rFonts w:ascii="Times New Roman" w:hAnsi="Times New Roman" w:hint="eastAsia"/>
                <w:sz w:val="26"/>
                <w:rtl/>
              </w:rPr>
              <w:t>שנקבעו</w:t>
            </w:r>
            <w:r w:rsidRPr="00E32A36">
              <w:rPr>
                <w:rFonts w:ascii="Times New Roman" w:hAnsi="Times New Roman"/>
                <w:sz w:val="26"/>
                <w:rtl/>
              </w:rPr>
              <w:t xml:space="preserve"> </w:t>
            </w:r>
            <w:r w:rsidRPr="00E32A36">
              <w:rPr>
                <w:rFonts w:ascii="Times New Roman" w:hAnsi="Times New Roman" w:hint="cs"/>
                <w:sz w:val="26"/>
                <w:rtl/>
              </w:rPr>
              <w:t>כאמור</w:t>
            </w:r>
            <w:r w:rsidRPr="00E32A36">
              <w:rPr>
                <w:rFonts w:ascii="Times New Roman" w:hAnsi="Times New Roman"/>
                <w:sz w:val="26"/>
                <w:rtl/>
              </w:rPr>
              <w:t xml:space="preserve"> </w:t>
            </w:r>
            <w:r w:rsidRPr="00E32A36">
              <w:rPr>
                <w:rFonts w:ascii="Times New Roman" w:hAnsi="Times New Roman" w:hint="cs"/>
                <w:sz w:val="26"/>
                <w:rtl/>
              </w:rPr>
              <w:t>ב</w:t>
            </w:r>
            <w:r w:rsidRPr="00E32A36">
              <w:rPr>
                <w:rFonts w:ascii="Times New Roman" w:hAnsi="Times New Roman" w:hint="eastAsia"/>
                <w:sz w:val="26"/>
                <w:rtl/>
              </w:rPr>
              <w:t>סעיף</w:t>
            </w:r>
            <w:r w:rsidRPr="00E32A36">
              <w:rPr>
                <w:rFonts w:ascii="Times New Roman" w:hAnsi="Times New Roman"/>
                <w:sz w:val="26"/>
                <w:rtl/>
              </w:rPr>
              <w:t xml:space="preserve"> 2</w:t>
            </w:r>
            <w:r w:rsidRPr="00E32A36">
              <w:rPr>
                <w:rFonts w:ascii="Times New Roman" w:hAnsi="Times New Roman" w:hint="eastAsia"/>
                <w:sz w:val="26"/>
                <w:rtl/>
              </w:rPr>
              <w:t>א</w:t>
            </w:r>
            <w:r w:rsidRPr="00E32A36">
              <w:rPr>
                <w:rFonts w:ascii="Times New Roman" w:hAnsi="Times New Roman" w:hint="cs"/>
                <w:sz w:val="26"/>
                <w:rtl/>
              </w:rPr>
              <w:t>.</w:t>
            </w:r>
          </w:p>
        </w:tc>
      </w:tr>
      <w:tr w:rsidR="00D53D89" w14:paraId="098092CE" w14:textId="77777777" w:rsidTr="0038078E">
        <w:trPr>
          <w:cantSplit/>
          <w:trHeight w:val="60"/>
        </w:trPr>
        <w:tc>
          <w:tcPr>
            <w:tcW w:w="1869" w:type="dxa"/>
          </w:tcPr>
          <w:p w14:paraId="41106A63" w14:textId="77777777" w:rsidR="00D53D89" w:rsidRDefault="00D53D89" w:rsidP="0038078E">
            <w:pPr>
              <w:pStyle w:val="TableSideHeading"/>
            </w:pPr>
          </w:p>
        </w:tc>
        <w:tc>
          <w:tcPr>
            <w:tcW w:w="623" w:type="dxa"/>
          </w:tcPr>
          <w:p w14:paraId="2DCE3853" w14:textId="77777777" w:rsidR="00D53D89" w:rsidRDefault="00D53D89" w:rsidP="0038078E">
            <w:pPr>
              <w:pStyle w:val="TableText"/>
            </w:pPr>
          </w:p>
        </w:tc>
        <w:tc>
          <w:tcPr>
            <w:tcW w:w="624" w:type="dxa"/>
          </w:tcPr>
          <w:p w14:paraId="5B539241" w14:textId="77777777" w:rsidR="00D53D89" w:rsidRDefault="00D53D89" w:rsidP="0038078E">
            <w:pPr>
              <w:pStyle w:val="TableText"/>
            </w:pPr>
          </w:p>
        </w:tc>
        <w:tc>
          <w:tcPr>
            <w:tcW w:w="625" w:type="dxa"/>
          </w:tcPr>
          <w:p w14:paraId="301EBA1B" w14:textId="77777777" w:rsidR="00D53D89" w:rsidRDefault="00D53D89" w:rsidP="0038078E">
            <w:pPr>
              <w:pStyle w:val="TableText"/>
            </w:pPr>
          </w:p>
        </w:tc>
        <w:tc>
          <w:tcPr>
            <w:tcW w:w="624" w:type="dxa"/>
          </w:tcPr>
          <w:p w14:paraId="25D66644" w14:textId="77777777" w:rsidR="00D53D89" w:rsidRDefault="00D53D89" w:rsidP="0038078E">
            <w:pPr>
              <w:pStyle w:val="TableText"/>
            </w:pPr>
          </w:p>
        </w:tc>
        <w:tc>
          <w:tcPr>
            <w:tcW w:w="624" w:type="dxa"/>
          </w:tcPr>
          <w:p w14:paraId="2D1E0AFB" w14:textId="77777777" w:rsidR="00D53D89" w:rsidRDefault="00D53D89" w:rsidP="0038078E">
            <w:pPr>
              <w:pStyle w:val="TableText"/>
            </w:pPr>
          </w:p>
        </w:tc>
        <w:tc>
          <w:tcPr>
            <w:tcW w:w="4648" w:type="dxa"/>
            <w:gridSpan w:val="2"/>
          </w:tcPr>
          <w:p w14:paraId="74981593" w14:textId="77777777" w:rsidR="00D53D89" w:rsidRDefault="00D53D89" w:rsidP="0038078E">
            <w:pPr>
              <w:pStyle w:val="TableBlock"/>
              <w:spacing w:line="240" w:lineRule="auto"/>
            </w:pPr>
            <w:r>
              <w:rPr>
                <w:rFonts w:hint="cs"/>
                <w:rtl/>
              </w:rPr>
              <w:t>(ב)</w:t>
            </w:r>
            <w:r>
              <w:rPr>
                <w:rtl/>
              </w:rPr>
              <w:tab/>
            </w:r>
            <w:r>
              <w:rPr>
                <w:rFonts w:hint="cs"/>
                <w:rtl/>
              </w:rPr>
              <w:t xml:space="preserve">הוועדה </w:t>
            </w:r>
            <w:r w:rsidRPr="00E32A36">
              <w:rPr>
                <w:rFonts w:ascii="Times New Roman" w:hAnsi="Times New Roman" w:hint="cs"/>
                <w:sz w:val="26"/>
                <w:rtl/>
              </w:rPr>
              <w:t>תמנה שלושה חברים והם:</w:t>
            </w:r>
          </w:p>
        </w:tc>
      </w:tr>
      <w:tr w:rsidR="00D53D89" w:rsidRPr="00E32A36" w14:paraId="291C4204" w14:textId="77777777" w:rsidTr="0038078E">
        <w:trPr>
          <w:cantSplit/>
        </w:trPr>
        <w:tc>
          <w:tcPr>
            <w:tcW w:w="1869" w:type="dxa"/>
          </w:tcPr>
          <w:p w14:paraId="248C999E" w14:textId="77777777" w:rsidR="00D53D89" w:rsidRPr="00E32A36" w:rsidRDefault="00D53D89" w:rsidP="0038078E">
            <w:pPr>
              <w:pStyle w:val="TableSideHeading"/>
            </w:pPr>
          </w:p>
        </w:tc>
        <w:tc>
          <w:tcPr>
            <w:tcW w:w="623" w:type="dxa"/>
          </w:tcPr>
          <w:p w14:paraId="40EDFF64" w14:textId="77777777" w:rsidR="00D53D89" w:rsidRPr="00E32A36" w:rsidRDefault="00D53D89" w:rsidP="0038078E">
            <w:pPr>
              <w:pStyle w:val="TableText"/>
            </w:pPr>
          </w:p>
        </w:tc>
        <w:tc>
          <w:tcPr>
            <w:tcW w:w="624" w:type="dxa"/>
          </w:tcPr>
          <w:p w14:paraId="056B73A0" w14:textId="77777777" w:rsidR="00D53D89" w:rsidRPr="00E32A36" w:rsidRDefault="00D53D89" w:rsidP="0038078E">
            <w:pPr>
              <w:pStyle w:val="TableText"/>
            </w:pPr>
          </w:p>
        </w:tc>
        <w:tc>
          <w:tcPr>
            <w:tcW w:w="625" w:type="dxa"/>
          </w:tcPr>
          <w:p w14:paraId="063F81DE" w14:textId="77777777" w:rsidR="00D53D89" w:rsidRPr="00E32A36" w:rsidRDefault="00D53D89" w:rsidP="0038078E">
            <w:pPr>
              <w:pStyle w:val="TableText"/>
            </w:pPr>
          </w:p>
        </w:tc>
        <w:tc>
          <w:tcPr>
            <w:tcW w:w="624" w:type="dxa"/>
          </w:tcPr>
          <w:p w14:paraId="4D65D2BA" w14:textId="77777777" w:rsidR="00D53D89" w:rsidRPr="00E32A36" w:rsidRDefault="00D53D89" w:rsidP="0038078E">
            <w:pPr>
              <w:pStyle w:val="TableText"/>
            </w:pPr>
          </w:p>
        </w:tc>
        <w:tc>
          <w:tcPr>
            <w:tcW w:w="624" w:type="dxa"/>
          </w:tcPr>
          <w:p w14:paraId="5652026F" w14:textId="77777777" w:rsidR="00D53D89" w:rsidRPr="00E32A36" w:rsidRDefault="00D53D89" w:rsidP="0038078E">
            <w:pPr>
              <w:pStyle w:val="TableText"/>
            </w:pPr>
          </w:p>
        </w:tc>
        <w:tc>
          <w:tcPr>
            <w:tcW w:w="624" w:type="dxa"/>
          </w:tcPr>
          <w:p w14:paraId="23344680" w14:textId="77777777" w:rsidR="00D53D89" w:rsidRPr="00E32A36" w:rsidRDefault="00D53D89" w:rsidP="0038078E">
            <w:pPr>
              <w:pStyle w:val="TableText"/>
            </w:pPr>
          </w:p>
        </w:tc>
        <w:tc>
          <w:tcPr>
            <w:tcW w:w="4024" w:type="dxa"/>
          </w:tcPr>
          <w:p w14:paraId="27815EBD" w14:textId="77777777" w:rsidR="00D53D89" w:rsidRPr="00E32A36" w:rsidRDefault="00D53D89" w:rsidP="0038078E">
            <w:pPr>
              <w:pStyle w:val="TableBlock"/>
            </w:pPr>
            <w:r w:rsidRPr="00E32A36">
              <w:rPr>
                <w:rFonts w:hint="cs"/>
                <w:rtl/>
              </w:rPr>
              <w:t>(1)</w:t>
            </w:r>
            <w:r w:rsidRPr="00E32A36">
              <w:rPr>
                <w:rtl/>
              </w:rPr>
              <w:tab/>
            </w:r>
            <w:r w:rsidRPr="00E32A36">
              <w:rPr>
                <w:rFonts w:hint="cs"/>
                <w:rtl/>
              </w:rPr>
              <w:t>דיין או דיין שיצא לגמלאות ורב עיר או רב עיר שיצא לגמלאות, או שני רבני עיר כאמור;</w:t>
            </w:r>
          </w:p>
        </w:tc>
      </w:tr>
      <w:tr w:rsidR="00D53D89" w:rsidRPr="00E32A36" w14:paraId="36780C28" w14:textId="77777777" w:rsidTr="0038078E">
        <w:trPr>
          <w:cantSplit/>
        </w:trPr>
        <w:tc>
          <w:tcPr>
            <w:tcW w:w="1869" w:type="dxa"/>
          </w:tcPr>
          <w:p w14:paraId="3C1D66A0" w14:textId="77777777" w:rsidR="00D53D89" w:rsidRPr="00E32A36" w:rsidRDefault="00D53D89" w:rsidP="0038078E">
            <w:pPr>
              <w:pStyle w:val="TableSideHeading"/>
            </w:pPr>
          </w:p>
        </w:tc>
        <w:tc>
          <w:tcPr>
            <w:tcW w:w="623" w:type="dxa"/>
          </w:tcPr>
          <w:p w14:paraId="4EF6D36D" w14:textId="77777777" w:rsidR="00D53D89" w:rsidRPr="00E32A36" w:rsidRDefault="00D53D89" w:rsidP="0038078E">
            <w:pPr>
              <w:pStyle w:val="TableText"/>
            </w:pPr>
          </w:p>
        </w:tc>
        <w:tc>
          <w:tcPr>
            <w:tcW w:w="624" w:type="dxa"/>
          </w:tcPr>
          <w:p w14:paraId="6E19EB7D" w14:textId="77777777" w:rsidR="00D53D89" w:rsidRPr="00E32A36" w:rsidRDefault="00D53D89" w:rsidP="0038078E">
            <w:pPr>
              <w:pStyle w:val="TableText"/>
            </w:pPr>
          </w:p>
        </w:tc>
        <w:tc>
          <w:tcPr>
            <w:tcW w:w="625" w:type="dxa"/>
          </w:tcPr>
          <w:p w14:paraId="736C1404" w14:textId="77777777" w:rsidR="00D53D89" w:rsidRPr="00E32A36" w:rsidRDefault="00D53D89" w:rsidP="0038078E">
            <w:pPr>
              <w:pStyle w:val="TableText"/>
            </w:pPr>
          </w:p>
        </w:tc>
        <w:tc>
          <w:tcPr>
            <w:tcW w:w="624" w:type="dxa"/>
          </w:tcPr>
          <w:p w14:paraId="1448D62A" w14:textId="77777777" w:rsidR="00D53D89" w:rsidRPr="00E32A36" w:rsidRDefault="00D53D89" w:rsidP="0038078E">
            <w:pPr>
              <w:pStyle w:val="TableText"/>
            </w:pPr>
          </w:p>
        </w:tc>
        <w:tc>
          <w:tcPr>
            <w:tcW w:w="624" w:type="dxa"/>
          </w:tcPr>
          <w:p w14:paraId="494CD4B6" w14:textId="77777777" w:rsidR="00D53D89" w:rsidRPr="00E32A36" w:rsidRDefault="00D53D89" w:rsidP="0038078E">
            <w:pPr>
              <w:pStyle w:val="TableText"/>
            </w:pPr>
          </w:p>
        </w:tc>
        <w:tc>
          <w:tcPr>
            <w:tcW w:w="624" w:type="dxa"/>
          </w:tcPr>
          <w:p w14:paraId="23892096" w14:textId="77777777" w:rsidR="00D53D89" w:rsidRPr="00E32A36" w:rsidRDefault="00D53D89" w:rsidP="0038078E">
            <w:pPr>
              <w:pStyle w:val="TableText"/>
            </w:pPr>
          </w:p>
        </w:tc>
        <w:tc>
          <w:tcPr>
            <w:tcW w:w="4024" w:type="dxa"/>
          </w:tcPr>
          <w:p w14:paraId="5EB3E57E" w14:textId="77777777" w:rsidR="00D53D89" w:rsidRPr="00E32A36" w:rsidRDefault="00D53D89" w:rsidP="0038078E">
            <w:pPr>
              <w:pStyle w:val="TableBlock"/>
              <w:rPr>
                <w:rtl/>
              </w:rPr>
            </w:pPr>
            <w:r w:rsidRPr="00E32A36">
              <w:rPr>
                <w:rFonts w:hint="cs"/>
                <w:rtl/>
              </w:rPr>
              <w:t>(2)</w:t>
            </w:r>
            <w:r w:rsidRPr="00E32A36">
              <w:rPr>
                <w:rtl/>
              </w:rPr>
              <w:tab/>
            </w:r>
            <w:r w:rsidRPr="00E32A36">
              <w:rPr>
                <w:rFonts w:hint="cs"/>
                <w:rtl/>
              </w:rPr>
              <w:t>מנהל אגף הכשרות הארצי במועצ</w:t>
            </w:r>
            <w:r>
              <w:rPr>
                <w:rFonts w:hint="cs"/>
                <w:rtl/>
              </w:rPr>
              <w:t>ת הרבנות הראשית לישראל או נציגו.</w:t>
            </w:r>
          </w:p>
        </w:tc>
      </w:tr>
      <w:tr w:rsidR="00D53D89" w:rsidRPr="00E32A36" w14:paraId="3575F40D" w14:textId="77777777" w:rsidTr="0038078E">
        <w:trPr>
          <w:cantSplit/>
        </w:trPr>
        <w:tc>
          <w:tcPr>
            <w:tcW w:w="1869" w:type="dxa"/>
          </w:tcPr>
          <w:p w14:paraId="36773E43" w14:textId="77777777" w:rsidR="00D53D89" w:rsidRPr="00E32A36" w:rsidRDefault="00D53D89" w:rsidP="0038078E">
            <w:pPr>
              <w:pStyle w:val="TableSideHeading"/>
            </w:pPr>
          </w:p>
        </w:tc>
        <w:tc>
          <w:tcPr>
            <w:tcW w:w="623" w:type="dxa"/>
          </w:tcPr>
          <w:p w14:paraId="179C611E" w14:textId="77777777" w:rsidR="00D53D89" w:rsidRPr="00E32A36" w:rsidRDefault="00D53D89" w:rsidP="0038078E">
            <w:pPr>
              <w:pStyle w:val="TableText"/>
            </w:pPr>
          </w:p>
        </w:tc>
        <w:tc>
          <w:tcPr>
            <w:tcW w:w="624" w:type="dxa"/>
          </w:tcPr>
          <w:p w14:paraId="65466807" w14:textId="77777777" w:rsidR="00D53D89" w:rsidRPr="00E32A36" w:rsidRDefault="00D53D89" w:rsidP="0038078E">
            <w:pPr>
              <w:pStyle w:val="TableText"/>
            </w:pPr>
          </w:p>
        </w:tc>
        <w:tc>
          <w:tcPr>
            <w:tcW w:w="625" w:type="dxa"/>
          </w:tcPr>
          <w:p w14:paraId="5911D438" w14:textId="77777777" w:rsidR="00D53D89" w:rsidRPr="00E32A36" w:rsidRDefault="00D53D89" w:rsidP="0038078E">
            <w:pPr>
              <w:pStyle w:val="TableText"/>
            </w:pPr>
          </w:p>
        </w:tc>
        <w:tc>
          <w:tcPr>
            <w:tcW w:w="624" w:type="dxa"/>
          </w:tcPr>
          <w:p w14:paraId="1C0755F7" w14:textId="77777777" w:rsidR="00D53D89" w:rsidRPr="00E32A36" w:rsidRDefault="00D53D89" w:rsidP="0038078E">
            <w:pPr>
              <w:pStyle w:val="TableText"/>
            </w:pPr>
          </w:p>
        </w:tc>
        <w:tc>
          <w:tcPr>
            <w:tcW w:w="624" w:type="dxa"/>
          </w:tcPr>
          <w:p w14:paraId="6079B49A" w14:textId="77777777" w:rsidR="00D53D89" w:rsidRPr="00E32A36" w:rsidRDefault="00D53D89" w:rsidP="0038078E">
            <w:pPr>
              <w:pStyle w:val="TableText"/>
            </w:pPr>
          </w:p>
        </w:tc>
        <w:tc>
          <w:tcPr>
            <w:tcW w:w="4648" w:type="dxa"/>
            <w:gridSpan w:val="2"/>
          </w:tcPr>
          <w:p w14:paraId="381269E9" w14:textId="77777777" w:rsidR="00D53D89" w:rsidRPr="00E32A36" w:rsidRDefault="00D53D89" w:rsidP="0038078E">
            <w:pPr>
              <w:pStyle w:val="TableBlock"/>
            </w:pPr>
            <w:r w:rsidRPr="00E32A36">
              <w:rPr>
                <w:rFonts w:ascii="Times New Roman" w:hAnsi="Times New Roman" w:hint="cs"/>
                <w:sz w:val="26"/>
                <w:rtl/>
              </w:rPr>
              <w:t>(ג)</w:t>
            </w:r>
            <w:r w:rsidRPr="00E32A36">
              <w:rPr>
                <w:rFonts w:ascii="Times New Roman" w:hAnsi="Times New Roman"/>
                <w:sz w:val="26"/>
                <w:rtl/>
              </w:rPr>
              <w:tab/>
            </w:r>
            <w:r w:rsidRPr="00E32A36">
              <w:rPr>
                <w:rFonts w:ascii="Times New Roman" w:hAnsi="Times New Roman" w:hint="cs"/>
                <w:sz w:val="26"/>
                <w:rtl/>
              </w:rPr>
              <w:t xml:space="preserve">מונה דיין לכהן בוועדה, יהיה הוא </w:t>
            </w:r>
            <w:r>
              <w:rPr>
                <w:rFonts w:ascii="Times New Roman" w:hAnsi="Times New Roman" w:hint="cs"/>
                <w:sz w:val="26"/>
                <w:rtl/>
              </w:rPr>
              <w:t>ה</w:t>
            </w:r>
            <w:r w:rsidRPr="00E32A36">
              <w:rPr>
                <w:rFonts w:ascii="Times New Roman" w:hAnsi="Times New Roman" w:hint="cs"/>
                <w:sz w:val="26"/>
                <w:rtl/>
              </w:rPr>
              <w:t>יושב</w:t>
            </w:r>
            <w:r w:rsidRPr="00E32A36">
              <w:rPr>
                <w:rFonts w:hint="cs"/>
                <w:sz w:val="26"/>
                <w:rtl/>
              </w:rPr>
              <w:t xml:space="preserve">  </w:t>
            </w:r>
            <w:r w:rsidRPr="00E32A36">
              <w:rPr>
                <w:rFonts w:ascii="Times New Roman" w:hAnsi="Times New Roman" w:hint="cs"/>
                <w:sz w:val="26"/>
                <w:rtl/>
              </w:rPr>
              <w:t xml:space="preserve">ראש; מינתה המועצה שני רבני עיר, תקבע המועצה מי </w:t>
            </w:r>
            <w:proofErr w:type="spellStart"/>
            <w:r>
              <w:rPr>
                <w:rFonts w:ascii="Times New Roman" w:hAnsi="Times New Roman" w:hint="cs"/>
                <w:sz w:val="26"/>
                <w:rtl/>
              </w:rPr>
              <w:t>מ</w:t>
            </w:r>
            <w:r w:rsidRPr="00E32A36">
              <w:rPr>
                <w:rFonts w:ascii="Times New Roman" w:hAnsi="Times New Roman" w:hint="cs"/>
                <w:sz w:val="26"/>
                <w:rtl/>
              </w:rPr>
              <w:t>ביניהם</w:t>
            </w:r>
            <w:proofErr w:type="spellEnd"/>
            <w:r w:rsidRPr="00E32A36">
              <w:rPr>
                <w:rFonts w:ascii="Times New Roman" w:hAnsi="Times New Roman" w:hint="cs"/>
                <w:sz w:val="26"/>
                <w:rtl/>
              </w:rPr>
              <w:t xml:space="preserve"> יכהן כיושב ראש.</w:t>
            </w:r>
          </w:p>
        </w:tc>
      </w:tr>
      <w:tr w:rsidR="00D53D89" w:rsidRPr="00E32A36" w14:paraId="2579D868" w14:textId="77777777" w:rsidTr="0038078E">
        <w:trPr>
          <w:cantSplit/>
        </w:trPr>
        <w:tc>
          <w:tcPr>
            <w:tcW w:w="1869" w:type="dxa"/>
          </w:tcPr>
          <w:p w14:paraId="0920597D" w14:textId="77777777" w:rsidR="00D53D89" w:rsidRPr="00E32A36" w:rsidRDefault="00D53D89" w:rsidP="0038078E">
            <w:pPr>
              <w:pStyle w:val="TableSideHeading"/>
            </w:pPr>
          </w:p>
        </w:tc>
        <w:tc>
          <w:tcPr>
            <w:tcW w:w="623" w:type="dxa"/>
          </w:tcPr>
          <w:p w14:paraId="3915BDD1" w14:textId="77777777" w:rsidR="00D53D89" w:rsidRPr="00E32A36" w:rsidRDefault="00D53D89" w:rsidP="0038078E">
            <w:pPr>
              <w:pStyle w:val="TableText"/>
            </w:pPr>
          </w:p>
        </w:tc>
        <w:tc>
          <w:tcPr>
            <w:tcW w:w="624" w:type="dxa"/>
          </w:tcPr>
          <w:p w14:paraId="121FD79D" w14:textId="77777777" w:rsidR="00D53D89" w:rsidRPr="00E32A36" w:rsidRDefault="00D53D89" w:rsidP="0038078E">
            <w:pPr>
              <w:pStyle w:val="TableText"/>
            </w:pPr>
          </w:p>
        </w:tc>
        <w:tc>
          <w:tcPr>
            <w:tcW w:w="625" w:type="dxa"/>
          </w:tcPr>
          <w:p w14:paraId="6A9F6FF5" w14:textId="77777777" w:rsidR="00D53D89" w:rsidRPr="00E32A36" w:rsidRDefault="00D53D89" w:rsidP="0038078E">
            <w:pPr>
              <w:pStyle w:val="TableText"/>
            </w:pPr>
          </w:p>
        </w:tc>
        <w:tc>
          <w:tcPr>
            <w:tcW w:w="624" w:type="dxa"/>
          </w:tcPr>
          <w:p w14:paraId="0197069D" w14:textId="77777777" w:rsidR="00D53D89" w:rsidRPr="00E32A36" w:rsidRDefault="00D53D89" w:rsidP="0038078E">
            <w:pPr>
              <w:pStyle w:val="TableText"/>
            </w:pPr>
          </w:p>
        </w:tc>
        <w:tc>
          <w:tcPr>
            <w:tcW w:w="624" w:type="dxa"/>
          </w:tcPr>
          <w:p w14:paraId="19E56B23" w14:textId="77777777" w:rsidR="00D53D89" w:rsidRPr="00E32A36" w:rsidRDefault="00D53D89" w:rsidP="0038078E">
            <w:pPr>
              <w:pStyle w:val="TableText"/>
            </w:pPr>
          </w:p>
        </w:tc>
        <w:tc>
          <w:tcPr>
            <w:tcW w:w="4648" w:type="dxa"/>
            <w:gridSpan w:val="2"/>
          </w:tcPr>
          <w:p w14:paraId="114BD6BD" w14:textId="77777777" w:rsidR="00D53D89" w:rsidRPr="00E32A36" w:rsidRDefault="00D53D89" w:rsidP="0038078E">
            <w:pPr>
              <w:pStyle w:val="TableBlock"/>
              <w:rPr>
                <w:rFonts w:ascii="Times New Roman" w:hAnsi="Times New Roman"/>
                <w:sz w:val="26"/>
                <w:rtl/>
              </w:rPr>
            </w:pPr>
            <w:r w:rsidRPr="00E32A36">
              <w:rPr>
                <w:rFonts w:ascii="Times New Roman" w:hAnsi="Times New Roman" w:hint="cs"/>
                <w:sz w:val="26"/>
                <w:rtl/>
              </w:rPr>
              <w:t>(ד)</w:t>
            </w:r>
            <w:r w:rsidRPr="00E32A36">
              <w:rPr>
                <w:rFonts w:ascii="Times New Roman" w:hAnsi="Times New Roman"/>
                <w:sz w:val="26"/>
                <w:rtl/>
              </w:rPr>
              <w:tab/>
            </w:r>
            <w:r w:rsidRPr="00E32A36">
              <w:rPr>
                <w:rFonts w:ascii="Times New Roman" w:hAnsi="Times New Roman" w:hint="cs"/>
                <w:sz w:val="26"/>
                <w:rtl/>
              </w:rPr>
              <w:t>הוועדה לא תקבל החלטה כאמור בסעיף קטן (א), אלא לאחר שתינתן לרב הזדמנות לטעון טענותיו</w:t>
            </w:r>
            <w:r>
              <w:rPr>
                <w:rFonts w:ascii="Times New Roman" w:hAnsi="Times New Roman" w:hint="cs"/>
                <w:sz w:val="26"/>
                <w:rtl/>
              </w:rPr>
              <w:t>."</w:t>
            </w:r>
          </w:p>
        </w:tc>
      </w:tr>
    </w:tbl>
    <w:p w14:paraId="4E6FD167" w14:textId="77777777" w:rsidR="00D53D89" w:rsidRDefault="00D53D89" w:rsidP="00D53D89">
      <w:pPr>
        <w:pStyle w:val="HeadDivreiHesber"/>
      </w:pPr>
      <w:r w:rsidRPr="0027450A">
        <w:rPr>
          <w:rFonts w:hint="cs"/>
          <w:rtl/>
        </w:rPr>
        <w:t>דברי הסבר</w:t>
      </w:r>
    </w:p>
    <w:p w14:paraId="32C146C8" w14:textId="77777777" w:rsidR="00D53D89" w:rsidRPr="00B12CE3" w:rsidRDefault="00D53D89" w:rsidP="00B12CE3">
      <w:pPr>
        <w:pStyle w:val="Hesber"/>
        <w:rPr>
          <w:rtl/>
        </w:rPr>
      </w:pPr>
      <w:r w:rsidRPr="00B12CE3">
        <w:rPr>
          <w:rtl/>
        </w:rPr>
        <w:t xml:space="preserve">סעיף 2 לחוק הרבנות הראשית לישראל, </w:t>
      </w:r>
      <w:proofErr w:type="spellStart"/>
      <w:r w:rsidRPr="00B12CE3">
        <w:rPr>
          <w:rFonts w:hint="cs"/>
          <w:rtl/>
        </w:rPr>
        <w:t>ה</w:t>
      </w:r>
      <w:r w:rsidRPr="00B12CE3">
        <w:rPr>
          <w:rtl/>
        </w:rPr>
        <w:t>תש"ם</w:t>
      </w:r>
      <w:proofErr w:type="spellEnd"/>
      <w:r w:rsidRPr="00B12CE3">
        <w:rPr>
          <w:rFonts w:hint="cs"/>
          <w:rtl/>
        </w:rPr>
        <w:t>–</w:t>
      </w:r>
      <w:r w:rsidRPr="00B12CE3">
        <w:rPr>
          <w:rtl/>
        </w:rPr>
        <w:t>1980</w:t>
      </w:r>
      <w:r w:rsidRPr="00B12CE3">
        <w:rPr>
          <w:rFonts w:hint="cs"/>
          <w:rtl/>
        </w:rPr>
        <w:t>, קובע כי אחד</w:t>
      </w:r>
      <w:r w:rsidRPr="00B12CE3">
        <w:rPr>
          <w:rtl/>
        </w:rPr>
        <w:t xml:space="preserve"> מתפקידיה של מועצת הרבנות הראשית לישראל</w:t>
      </w:r>
      <w:r w:rsidRPr="00B12CE3">
        <w:rPr>
          <w:rFonts w:hint="cs"/>
          <w:rtl/>
        </w:rPr>
        <w:t xml:space="preserve"> הוא </w:t>
      </w:r>
      <w:r w:rsidRPr="00B12CE3">
        <w:rPr>
          <w:rtl/>
        </w:rPr>
        <w:t>מתן תעודות הכשר</w:t>
      </w:r>
      <w:r w:rsidRPr="00B12CE3">
        <w:rPr>
          <w:rFonts w:hint="cs"/>
          <w:rtl/>
        </w:rPr>
        <w:t>.</w:t>
      </w:r>
      <w:r w:rsidRPr="00B12CE3">
        <w:rPr>
          <w:rtl/>
        </w:rPr>
        <w:t xml:space="preserve"> סעיף 2 לחוק איסור הונאה בכשרות, </w:t>
      </w:r>
      <w:proofErr w:type="spellStart"/>
      <w:r w:rsidRPr="00B12CE3">
        <w:rPr>
          <w:rFonts w:hint="cs"/>
          <w:rtl/>
        </w:rPr>
        <w:t>ה</w:t>
      </w:r>
      <w:r w:rsidRPr="00B12CE3">
        <w:rPr>
          <w:rtl/>
        </w:rPr>
        <w:t>תשמ"ג</w:t>
      </w:r>
      <w:proofErr w:type="spellEnd"/>
      <w:r w:rsidRPr="00B12CE3">
        <w:rPr>
          <w:rFonts w:hint="cs"/>
          <w:rtl/>
        </w:rPr>
        <w:t>–</w:t>
      </w:r>
      <w:r w:rsidRPr="00B12CE3">
        <w:rPr>
          <w:rtl/>
        </w:rPr>
        <w:t xml:space="preserve">1983, </w:t>
      </w:r>
      <w:r w:rsidRPr="00B12CE3">
        <w:rPr>
          <w:rFonts w:hint="cs"/>
          <w:rtl/>
        </w:rPr>
        <w:t xml:space="preserve">קובע כי </w:t>
      </w:r>
      <w:r w:rsidRPr="00B12CE3">
        <w:rPr>
          <w:rtl/>
        </w:rPr>
        <w:t>הרשאים לתת תעודת הכשר הם</w:t>
      </w:r>
      <w:r w:rsidRPr="00B12CE3">
        <w:rPr>
          <w:rFonts w:hint="cs"/>
          <w:rtl/>
        </w:rPr>
        <w:t>:</w:t>
      </w:r>
    </w:p>
    <w:p w14:paraId="3BC52718" w14:textId="77777777" w:rsidR="00D53D89" w:rsidRPr="00B12CE3" w:rsidRDefault="00D53D89" w:rsidP="00B12CE3">
      <w:pPr>
        <w:pStyle w:val="Hesber"/>
      </w:pPr>
      <w:r w:rsidRPr="00B12CE3">
        <w:rPr>
          <w:rFonts w:hint="cs"/>
          <w:rtl/>
        </w:rPr>
        <w:t>"(1)</w:t>
      </w:r>
      <w:r w:rsidRPr="00B12CE3">
        <w:rPr>
          <w:rtl/>
        </w:rPr>
        <w:tab/>
        <w:t>מועצת הרבנות לישראל</w:t>
      </w:r>
      <w:r w:rsidRPr="00B12CE3">
        <w:rPr>
          <w:rFonts w:hint="cs"/>
          <w:rtl/>
        </w:rPr>
        <w:t xml:space="preserve"> או </w:t>
      </w:r>
      <w:r w:rsidRPr="00B12CE3">
        <w:rPr>
          <w:rtl/>
        </w:rPr>
        <w:t>רב שהיא הסמיכה לכך</w:t>
      </w:r>
      <w:r w:rsidRPr="00B12CE3">
        <w:rPr>
          <w:rFonts w:hint="cs"/>
          <w:rtl/>
        </w:rPr>
        <w:t>.</w:t>
      </w:r>
    </w:p>
    <w:p w14:paraId="1579A5A7" w14:textId="6D40B20C" w:rsidR="00D53D89" w:rsidRPr="00B12CE3" w:rsidRDefault="00B12CE3" w:rsidP="00B12CE3">
      <w:pPr>
        <w:pStyle w:val="Hesber"/>
      </w:pPr>
      <w:r>
        <w:rPr>
          <w:rFonts w:hint="cs"/>
          <w:rtl/>
        </w:rPr>
        <w:t xml:space="preserve">  </w:t>
      </w:r>
      <w:r w:rsidR="00D53D89" w:rsidRPr="00B12CE3">
        <w:rPr>
          <w:rFonts w:hint="cs"/>
          <w:rtl/>
        </w:rPr>
        <w:t>(2)</w:t>
      </w:r>
      <w:r w:rsidR="00D53D89" w:rsidRPr="00B12CE3">
        <w:rPr>
          <w:rtl/>
        </w:rPr>
        <w:tab/>
        <w:t xml:space="preserve">רב מקומי המכהן במקום </w:t>
      </w:r>
      <w:r w:rsidR="00D53D89" w:rsidRPr="00B12CE3">
        <w:rPr>
          <w:rFonts w:hint="cs"/>
          <w:rtl/>
        </w:rPr>
        <w:t>ש</w:t>
      </w:r>
      <w:r w:rsidR="00D53D89" w:rsidRPr="00B12CE3">
        <w:rPr>
          <w:rtl/>
        </w:rPr>
        <w:t xml:space="preserve">בו נמצא בית האוכל, מקום השחיטה או מקום הייצור של המצרך. </w:t>
      </w:r>
    </w:p>
    <w:p w14:paraId="76D4BAA7" w14:textId="605C9CFF" w:rsidR="00D53D89" w:rsidRPr="00B12CE3" w:rsidRDefault="00B12CE3" w:rsidP="00B12CE3">
      <w:pPr>
        <w:pStyle w:val="Hesber"/>
        <w:rPr>
          <w:rtl/>
        </w:rPr>
      </w:pPr>
      <w:r>
        <w:rPr>
          <w:rFonts w:hint="cs"/>
          <w:rtl/>
        </w:rPr>
        <w:t xml:space="preserve">  </w:t>
      </w:r>
      <w:r w:rsidR="00D53D89" w:rsidRPr="00B12CE3">
        <w:rPr>
          <w:rFonts w:hint="cs"/>
          <w:rtl/>
        </w:rPr>
        <w:t>(3)</w:t>
      </w:r>
      <w:r w:rsidR="00D53D89" w:rsidRPr="00B12CE3">
        <w:rPr>
          <w:rtl/>
        </w:rPr>
        <w:tab/>
      </w:r>
      <w:r w:rsidR="00D53D89" w:rsidRPr="00B12CE3">
        <w:rPr>
          <w:rFonts w:hint="cs"/>
          <w:rtl/>
        </w:rPr>
        <w:t xml:space="preserve">לעניין תעודת הכשר בצה"ל </w:t>
      </w:r>
      <w:r w:rsidR="00D53D89" w:rsidRPr="00B12CE3">
        <w:rPr>
          <w:rtl/>
        </w:rPr>
        <w:t>–</w:t>
      </w:r>
      <w:r w:rsidR="00D53D89" w:rsidRPr="00B12CE3">
        <w:rPr>
          <w:rFonts w:hint="cs"/>
          <w:rtl/>
        </w:rPr>
        <w:t xml:space="preserve"> הרב הראשי לצה"ל או רב צבאי שהוא הסמיך לכך". </w:t>
      </w:r>
    </w:p>
    <w:p w14:paraId="5A098157" w14:textId="77777777" w:rsidR="00D53D89" w:rsidRPr="00B12CE3" w:rsidRDefault="00D53D89" w:rsidP="00B12CE3">
      <w:pPr>
        <w:pStyle w:val="Hesber"/>
        <w:rPr>
          <w:rtl/>
        </w:rPr>
      </w:pPr>
      <w:r w:rsidRPr="00B12CE3">
        <w:rPr>
          <w:rtl/>
        </w:rPr>
        <w:t xml:space="preserve">לצד האמור, המועצה לא הוסמכה בחקיקה לקבוע </w:t>
      </w:r>
      <w:r w:rsidRPr="00B12CE3">
        <w:rPr>
          <w:rFonts w:hint="cs"/>
          <w:rtl/>
        </w:rPr>
        <w:t>כללים</w:t>
      </w:r>
      <w:r w:rsidRPr="00B12CE3">
        <w:rPr>
          <w:rtl/>
        </w:rPr>
        <w:t xml:space="preserve"> </w:t>
      </w:r>
      <w:r w:rsidRPr="00B12CE3">
        <w:rPr>
          <w:rFonts w:hint="cs"/>
          <w:rtl/>
        </w:rPr>
        <w:t xml:space="preserve">אחידים </w:t>
      </w:r>
      <w:r w:rsidRPr="00B12CE3">
        <w:rPr>
          <w:rtl/>
        </w:rPr>
        <w:t xml:space="preserve">למתן תעודת הכשר </w:t>
      </w:r>
      <w:r w:rsidRPr="00B12CE3">
        <w:rPr>
          <w:rFonts w:hint="cs"/>
          <w:rtl/>
        </w:rPr>
        <w:t xml:space="preserve">אשר </w:t>
      </w:r>
      <w:r w:rsidRPr="00B12CE3">
        <w:rPr>
          <w:rtl/>
        </w:rPr>
        <w:t>יחייבו את הרבנים שהוסמכו לתת תעודת הכשר</w:t>
      </w:r>
      <w:r w:rsidRPr="00B12CE3">
        <w:rPr>
          <w:rFonts w:hint="cs"/>
          <w:rtl/>
        </w:rPr>
        <w:t xml:space="preserve"> לפעול על פיהם</w:t>
      </w:r>
      <w:r w:rsidRPr="00B12CE3">
        <w:rPr>
          <w:rtl/>
        </w:rPr>
        <w:t>.</w:t>
      </w:r>
      <w:r w:rsidRPr="00B12CE3">
        <w:rPr>
          <w:rFonts w:hint="cs"/>
          <w:rtl/>
        </w:rPr>
        <w:t xml:space="preserve"> </w:t>
      </w:r>
      <w:r w:rsidRPr="00B12CE3">
        <w:rPr>
          <w:rtl/>
        </w:rPr>
        <w:t>בית המשפט העליון</w:t>
      </w:r>
      <w:r w:rsidRPr="00B12CE3">
        <w:rPr>
          <w:rFonts w:hint="cs"/>
          <w:rtl/>
        </w:rPr>
        <w:t xml:space="preserve"> קבע ב</w:t>
      </w:r>
      <w:r w:rsidRPr="00B12CE3">
        <w:rPr>
          <w:rtl/>
        </w:rPr>
        <w:t>בג"ץ 11157/03 אירוח גולן נ' הרבנות הראשית לישראל</w:t>
      </w:r>
      <w:r w:rsidRPr="00B12CE3">
        <w:rPr>
          <w:rFonts w:hint="cs"/>
          <w:rtl/>
        </w:rPr>
        <w:t>, ניתן ביום 02.03.2006)</w:t>
      </w:r>
      <w:r w:rsidRPr="00B12CE3">
        <w:rPr>
          <w:rtl/>
        </w:rPr>
        <w:t xml:space="preserve"> כי מועצת הרבנות הראשית מוסמכת </w:t>
      </w:r>
      <w:r w:rsidRPr="00B12CE3">
        <w:rPr>
          <w:rFonts w:hint="cs"/>
          <w:rtl/>
        </w:rPr>
        <w:t xml:space="preserve">בהתאם למצב המשפטי הקיים, </w:t>
      </w:r>
      <w:r w:rsidRPr="00B12CE3">
        <w:rPr>
          <w:rtl/>
        </w:rPr>
        <w:t>להנחות את הרבנים המקומיים בענייני כשרות</w:t>
      </w:r>
      <w:r w:rsidRPr="00B12CE3">
        <w:rPr>
          <w:rFonts w:hint="cs"/>
          <w:rtl/>
        </w:rPr>
        <w:t>.</w:t>
      </w:r>
      <w:r w:rsidRPr="00B12CE3">
        <w:rPr>
          <w:rtl/>
        </w:rPr>
        <w:t xml:space="preserve"> </w:t>
      </w:r>
      <w:r w:rsidRPr="00B12CE3">
        <w:rPr>
          <w:rFonts w:hint="cs"/>
          <w:rtl/>
        </w:rPr>
        <w:t>באותו עניין</w:t>
      </w:r>
      <w:r w:rsidRPr="00B12CE3">
        <w:rPr>
          <w:rtl/>
        </w:rPr>
        <w:t xml:space="preserve"> קבע בית המשפט</w:t>
      </w:r>
      <w:r w:rsidRPr="00B12CE3">
        <w:rPr>
          <w:rFonts w:hint="cs"/>
          <w:rtl/>
        </w:rPr>
        <w:t xml:space="preserve"> כי</w:t>
      </w:r>
      <w:r w:rsidRPr="00B12CE3">
        <w:rPr>
          <w:rtl/>
        </w:rPr>
        <w:t>:</w:t>
      </w:r>
      <w:r w:rsidRPr="00B12CE3">
        <w:rPr>
          <w:rFonts w:hint="cs"/>
          <w:rtl/>
        </w:rPr>
        <w:t xml:space="preserve"> </w:t>
      </w:r>
      <w:r w:rsidRPr="00B12CE3">
        <w:rPr>
          <w:rtl/>
        </w:rPr>
        <w:t>"</w:t>
      </w:r>
      <w:r w:rsidRPr="00B12CE3">
        <w:rPr>
          <w:rFonts w:hint="eastAsia"/>
          <w:rtl/>
        </w:rPr>
        <w:t>הרשות</w:t>
      </w:r>
      <w:r w:rsidRPr="00B12CE3">
        <w:rPr>
          <w:rtl/>
        </w:rPr>
        <w:t xml:space="preserve"> </w:t>
      </w:r>
      <w:r w:rsidRPr="00B12CE3">
        <w:rPr>
          <w:rFonts w:hint="eastAsia"/>
          <w:rtl/>
        </w:rPr>
        <w:t>האחראית</w:t>
      </w:r>
      <w:r w:rsidRPr="00B12CE3">
        <w:rPr>
          <w:rtl/>
        </w:rPr>
        <w:t xml:space="preserve"> </w:t>
      </w:r>
      <w:r w:rsidRPr="00B12CE3">
        <w:rPr>
          <w:rFonts w:hint="eastAsia"/>
          <w:rtl/>
        </w:rPr>
        <w:t>לגדור</w:t>
      </w:r>
      <w:r w:rsidRPr="00B12CE3">
        <w:rPr>
          <w:rtl/>
        </w:rPr>
        <w:t xml:space="preserve"> </w:t>
      </w:r>
      <w:r w:rsidRPr="00B12CE3">
        <w:rPr>
          <w:rFonts w:hint="eastAsia"/>
          <w:rtl/>
        </w:rPr>
        <w:t>את</w:t>
      </w:r>
      <w:r w:rsidRPr="00B12CE3">
        <w:rPr>
          <w:rtl/>
        </w:rPr>
        <w:t xml:space="preserve"> </w:t>
      </w:r>
      <w:r w:rsidRPr="00B12CE3">
        <w:rPr>
          <w:rFonts w:hint="eastAsia"/>
          <w:rtl/>
        </w:rPr>
        <w:t>מתחם</w:t>
      </w:r>
      <w:r w:rsidRPr="00B12CE3">
        <w:rPr>
          <w:rtl/>
        </w:rPr>
        <w:t xml:space="preserve"> </w:t>
      </w:r>
      <w:r w:rsidRPr="00B12CE3">
        <w:rPr>
          <w:rFonts w:hint="eastAsia"/>
          <w:rtl/>
        </w:rPr>
        <w:t>שיקול</w:t>
      </w:r>
      <w:r w:rsidRPr="00B12CE3">
        <w:rPr>
          <w:rtl/>
        </w:rPr>
        <w:t xml:space="preserve"> </w:t>
      </w:r>
      <w:r w:rsidRPr="00B12CE3">
        <w:rPr>
          <w:rFonts w:hint="eastAsia"/>
          <w:rtl/>
        </w:rPr>
        <w:t>הדעת</w:t>
      </w:r>
      <w:r w:rsidRPr="00B12CE3">
        <w:rPr>
          <w:rtl/>
        </w:rPr>
        <w:t xml:space="preserve"> </w:t>
      </w:r>
      <w:r w:rsidRPr="00B12CE3">
        <w:rPr>
          <w:rFonts w:hint="eastAsia"/>
          <w:rtl/>
        </w:rPr>
        <w:t>של</w:t>
      </w:r>
      <w:r w:rsidRPr="00B12CE3">
        <w:rPr>
          <w:rtl/>
        </w:rPr>
        <w:t xml:space="preserve"> </w:t>
      </w:r>
      <w:r w:rsidRPr="00B12CE3">
        <w:rPr>
          <w:rFonts w:hint="eastAsia"/>
          <w:rtl/>
        </w:rPr>
        <w:t>הרבנים</w:t>
      </w:r>
      <w:r w:rsidRPr="00B12CE3">
        <w:rPr>
          <w:rtl/>
        </w:rPr>
        <w:t xml:space="preserve"> </w:t>
      </w:r>
      <w:r w:rsidRPr="00B12CE3">
        <w:rPr>
          <w:rFonts w:hint="eastAsia"/>
          <w:rtl/>
        </w:rPr>
        <w:t>המקומיים</w:t>
      </w:r>
      <w:r w:rsidRPr="00B12CE3">
        <w:rPr>
          <w:rtl/>
        </w:rPr>
        <w:t xml:space="preserve"> </w:t>
      </w:r>
      <w:r w:rsidRPr="00B12CE3">
        <w:rPr>
          <w:rFonts w:hint="eastAsia"/>
          <w:rtl/>
        </w:rPr>
        <w:t>בנושא</w:t>
      </w:r>
      <w:r w:rsidRPr="00B12CE3">
        <w:rPr>
          <w:rtl/>
        </w:rPr>
        <w:t xml:space="preserve"> </w:t>
      </w:r>
      <w:r w:rsidRPr="00B12CE3">
        <w:rPr>
          <w:rFonts w:hint="eastAsia"/>
          <w:rtl/>
        </w:rPr>
        <w:t>הענקת</w:t>
      </w:r>
      <w:r w:rsidRPr="00B12CE3">
        <w:rPr>
          <w:rtl/>
        </w:rPr>
        <w:t xml:space="preserve"> </w:t>
      </w:r>
      <w:r w:rsidRPr="00B12CE3">
        <w:rPr>
          <w:rFonts w:hint="eastAsia"/>
          <w:rtl/>
        </w:rPr>
        <w:t>כשרות</w:t>
      </w:r>
      <w:r w:rsidRPr="00B12CE3">
        <w:rPr>
          <w:rtl/>
        </w:rPr>
        <w:t xml:space="preserve"> </w:t>
      </w:r>
      <w:r w:rsidRPr="00B12CE3">
        <w:rPr>
          <w:rFonts w:hint="eastAsia"/>
          <w:rtl/>
        </w:rPr>
        <w:t>היא</w:t>
      </w:r>
      <w:r w:rsidRPr="00B12CE3">
        <w:rPr>
          <w:rtl/>
        </w:rPr>
        <w:t xml:space="preserve"> </w:t>
      </w:r>
      <w:r w:rsidRPr="00B12CE3">
        <w:rPr>
          <w:rFonts w:hint="eastAsia"/>
          <w:rtl/>
        </w:rPr>
        <w:t>הרבנות</w:t>
      </w:r>
      <w:r w:rsidRPr="00B12CE3">
        <w:rPr>
          <w:rtl/>
        </w:rPr>
        <w:t xml:space="preserve"> </w:t>
      </w:r>
      <w:r w:rsidRPr="00B12CE3">
        <w:rPr>
          <w:rFonts w:hint="eastAsia"/>
          <w:rtl/>
        </w:rPr>
        <w:t>הראשית</w:t>
      </w:r>
      <w:r w:rsidRPr="00B12CE3">
        <w:rPr>
          <w:rtl/>
        </w:rPr>
        <w:t xml:space="preserve">. </w:t>
      </w:r>
      <w:r w:rsidRPr="00B12CE3">
        <w:rPr>
          <w:rFonts w:hint="eastAsia"/>
          <w:rtl/>
        </w:rPr>
        <w:t>כל</w:t>
      </w:r>
      <w:r w:rsidRPr="00B12CE3">
        <w:rPr>
          <w:rtl/>
        </w:rPr>
        <w:t xml:space="preserve"> </w:t>
      </w:r>
      <w:r w:rsidRPr="00B12CE3">
        <w:rPr>
          <w:rFonts w:hint="eastAsia"/>
          <w:rtl/>
        </w:rPr>
        <w:t>רב</w:t>
      </w:r>
      <w:r w:rsidRPr="00B12CE3">
        <w:rPr>
          <w:rtl/>
        </w:rPr>
        <w:t xml:space="preserve"> </w:t>
      </w:r>
      <w:r w:rsidRPr="00B12CE3">
        <w:rPr>
          <w:rFonts w:hint="eastAsia"/>
          <w:rtl/>
        </w:rPr>
        <w:t>מקומי</w:t>
      </w:r>
      <w:r w:rsidRPr="00B12CE3">
        <w:rPr>
          <w:rtl/>
        </w:rPr>
        <w:t xml:space="preserve"> </w:t>
      </w:r>
      <w:r w:rsidRPr="00B12CE3">
        <w:rPr>
          <w:rFonts w:hint="eastAsia"/>
          <w:rtl/>
        </w:rPr>
        <w:t>כפוף</w:t>
      </w:r>
      <w:r w:rsidRPr="00B12CE3">
        <w:rPr>
          <w:rtl/>
        </w:rPr>
        <w:t xml:space="preserve"> </w:t>
      </w:r>
      <w:r w:rsidRPr="00B12CE3">
        <w:rPr>
          <w:rFonts w:hint="eastAsia"/>
          <w:rtl/>
        </w:rPr>
        <w:t>למדיניותה</w:t>
      </w:r>
      <w:r w:rsidRPr="00B12CE3">
        <w:rPr>
          <w:rtl/>
        </w:rPr>
        <w:t xml:space="preserve"> </w:t>
      </w:r>
      <w:r w:rsidRPr="00B12CE3">
        <w:rPr>
          <w:rFonts w:hint="eastAsia"/>
          <w:rtl/>
        </w:rPr>
        <w:t>של</w:t>
      </w:r>
      <w:r w:rsidRPr="00B12CE3">
        <w:rPr>
          <w:rtl/>
        </w:rPr>
        <w:t xml:space="preserve"> </w:t>
      </w:r>
      <w:r w:rsidRPr="00B12CE3">
        <w:rPr>
          <w:rFonts w:hint="eastAsia"/>
          <w:rtl/>
        </w:rPr>
        <w:t>הרבנות</w:t>
      </w:r>
      <w:r w:rsidRPr="00B12CE3">
        <w:rPr>
          <w:rtl/>
        </w:rPr>
        <w:t xml:space="preserve"> </w:t>
      </w:r>
      <w:r w:rsidRPr="00B12CE3">
        <w:rPr>
          <w:rFonts w:hint="eastAsia"/>
          <w:rtl/>
        </w:rPr>
        <w:t>הראשית</w:t>
      </w:r>
      <w:r w:rsidRPr="00B12CE3">
        <w:rPr>
          <w:rtl/>
        </w:rPr>
        <w:t xml:space="preserve">, </w:t>
      </w:r>
      <w:r w:rsidRPr="00B12CE3">
        <w:rPr>
          <w:rFonts w:hint="eastAsia"/>
          <w:rtl/>
        </w:rPr>
        <w:t>המייצגת</w:t>
      </w:r>
      <w:r w:rsidRPr="00B12CE3">
        <w:rPr>
          <w:rtl/>
        </w:rPr>
        <w:t xml:space="preserve"> </w:t>
      </w:r>
      <w:r w:rsidRPr="00B12CE3">
        <w:rPr>
          <w:rFonts w:hint="eastAsia"/>
          <w:rtl/>
        </w:rPr>
        <w:t>את</w:t>
      </w:r>
      <w:r w:rsidRPr="00B12CE3">
        <w:rPr>
          <w:rtl/>
        </w:rPr>
        <w:t xml:space="preserve"> </w:t>
      </w:r>
      <w:r w:rsidRPr="00B12CE3">
        <w:rPr>
          <w:rFonts w:hint="eastAsia"/>
          <w:rtl/>
        </w:rPr>
        <w:t>ליבת</w:t>
      </w:r>
      <w:r w:rsidRPr="00B12CE3">
        <w:rPr>
          <w:rtl/>
        </w:rPr>
        <w:t xml:space="preserve"> </w:t>
      </w:r>
      <w:r w:rsidRPr="00B12CE3">
        <w:rPr>
          <w:rFonts w:hint="eastAsia"/>
          <w:rtl/>
        </w:rPr>
        <w:t>הדין</w:t>
      </w:r>
      <w:r w:rsidRPr="00B12CE3">
        <w:rPr>
          <w:rtl/>
        </w:rPr>
        <w:t xml:space="preserve"> </w:t>
      </w:r>
      <w:r w:rsidRPr="00B12CE3">
        <w:rPr>
          <w:rFonts w:hint="eastAsia"/>
          <w:rtl/>
        </w:rPr>
        <w:t>ההלכתי</w:t>
      </w:r>
      <w:r w:rsidRPr="00B12CE3">
        <w:rPr>
          <w:rtl/>
        </w:rPr>
        <w:t xml:space="preserve"> </w:t>
      </w:r>
      <w:r w:rsidRPr="00B12CE3">
        <w:rPr>
          <w:rFonts w:hint="eastAsia"/>
          <w:rtl/>
        </w:rPr>
        <w:t>בנושא</w:t>
      </w:r>
      <w:r w:rsidRPr="00B12CE3">
        <w:rPr>
          <w:rtl/>
        </w:rPr>
        <w:t xml:space="preserve"> </w:t>
      </w:r>
      <w:r w:rsidRPr="00B12CE3">
        <w:rPr>
          <w:rFonts w:hint="eastAsia"/>
          <w:rtl/>
        </w:rPr>
        <w:t>הכשרות</w:t>
      </w:r>
      <w:r w:rsidRPr="00B12CE3">
        <w:rPr>
          <w:rtl/>
        </w:rPr>
        <w:t xml:space="preserve">, </w:t>
      </w:r>
      <w:r w:rsidRPr="00B12CE3">
        <w:rPr>
          <w:rFonts w:hint="eastAsia"/>
          <w:rtl/>
        </w:rPr>
        <w:t>ליבה</w:t>
      </w:r>
      <w:r w:rsidRPr="00B12CE3">
        <w:rPr>
          <w:rtl/>
        </w:rPr>
        <w:t xml:space="preserve"> </w:t>
      </w:r>
      <w:r w:rsidRPr="00B12CE3">
        <w:rPr>
          <w:rFonts w:hint="eastAsia"/>
          <w:rtl/>
        </w:rPr>
        <w:t>אשר</w:t>
      </w:r>
      <w:r w:rsidRPr="00B12CE3">
        <w:rPr>
          <w:rtl/>
        </w:rPr>
        <w:t xml:space="preserve"> </w:t>
      </w:r>
      <w:r w:rsidRPr="00B12CE3">
        <w:rPr>
          <w:rFonts w:hint="eastAsia"/>
          <w:rtl/>
        </w:rPr>
        <w:t>צריכה</w:t>
      </w:r>
      <w:r w:rsidRPr="00B12CE3">
        <w:rPr>
          <w:rtl/>
        </w:rPr>
        <w:t xml:space="preserve"> </w:t>
      </w:r>
      <w:r w:rsidRPr="00B12CE3">
        <w:rPr>
          <w:rFonts w:hint="eastAsia"/>
          <w:rtl/>
        </w:rPr>
        <w:t>להיות</w:t>
      </w:r>
      <w:r w:rsidRPr="00B12CE3">
        <w:rPr>
          <w:rtl/>
        </w:rPr>
        <w:t xml:space="preserve"> </w:t>
      </w:r>
      <w:r w:rsidRPr="00B12CE3">
        <w:rPr>
          <w:rFonts w:hint="eastAsia"/>
          <w:rtl/>
        </w:rPr>
        <w:t>אחידה</w:t>
      </w:r>
      <w:r w:rsidRPr="00B12CE3">
        <w:rPr>
          <w:rtl/>
        </w:rPr>
        <w:t xml:space="preserve"> </w:t>
      </w:r>
      <w:r w:rsidRPr="00B12CE3">
        <w:rPr>
          <w:rFonts w:hint="eastAsia"/>
          <w:rtl/>
        </w:rPr>
        <w:t>בכל</w:t>
      </w:r>
      <w:r w:rsidRPr="00B12CE3">
        <w:rPr>
          <w:rtl/>
        </w:rPr>
        <w:t xml:space="preserve"> </w:t>
      </w:r>
      <w:r w:rsidRPr="00B12CE3">
        <w:rPr>
          <w:rFonts w:hint="eastAsia"/>
          <w:rtl/>
        </w:rPr>
        <w:t>אתר</w:t>
      </w:r>
      <w:r w:rsidRPr="00B12CE3">
        <w:rPr>
          <w:rtl/>
        </w:rPr>
        <w:t xml:space="preserve"> </w:t>
      </w:r>
      <w:r w:rsidRPr="00B12CE3">
        <w:rPr>
          <w:rFonts w:hint="eastAsia"/>
          <w:rtl/>
        </w:rPr>
        <w:t>ואתר</w:t>
      </w:r>
      <w:r w:rsidRPr="00B12CE3">
        <w:rPr>
          <w:rtl/>
        </w:rPr>
        <w:t xml:space="preserve"> </w:t>
      </w:r>
      <w:r w:rsidRPr="00B12CE3">
        <w:rPr>
          <w:rFonts w:hint="eastAsia"/>
          <w:rtl/>
        </w:rPr>
        <w:t>בישראל</w:t>
      </w:r>
      <w:r w:rsidRPr="00B12CE3">
        <w:rPr>
          <w:rtl/>
        </w:rPr>
        <w:t>"</w:t>
      </w:r>
      <w:r w:rsidRPr="00B12CE3">
        <w:rPr>
          <w:rFonts w:hint="cs"/>
          <w:rtl/>
        </w:rPr>
        <w:t>.</w:t>
      </w:r>
    </w:p>
    <w:p w14:paraId="39B3DD5E" w14:textId="77777777" w:rsidR="00D53D89" w:rsidRPr="00B12CE3" w:rsidRDefault="00D53D89" w:rsidP="00B12CE3">
      <w:pPr>
        <w:pStyle w:val="Hesber"/>
        <w:rPr>
          <w:rtl/>
        </w:rPr>
      </w:pPr>
      <w:r w:rsidRPr="00B12CE3">
        <w:rPr>
          <w:rFonts w:hint="cs"/>
          <w:rtl/>
        </w:rPr>
        <w:t>ל</w:t>
      </w:r>
      <w:r w:rsidRPr="00B12CE3">
        <w:rPr>
          <w:rtl/>
        </w:rPr>
        <w:t xml:space="preserve">אורך השנים אישרה מועצת הרבנות הראשית נהלים רבים הנוגעים לכשרות המזון. </w:t>
      </w:r>
      <w:r w:rsidRPr="00B12CE3">
        <w:rPr>
          <w:rFonts w:hint="cs"/>
          <w:rtl/>
        </w:rPr>
        <w:t>נהלים אלו מופצים בקובץ הנחיות אגף הכשרות הארצי של הרבנות הראשית לישראל ומפורסמים באתר האינטרנט של הרבנות הראשית.</w:t>
      </w:r>
      <w:r w:rsidRPr="00B12CE3">
        <w:rPr>
          <w:rtl/>
        </w:rPr>
        <w:t xml:space="preserve"> עם זאת, בנסיבות הנוכחיות, בה</w:t>
      </w:r>
      <w:r w:rsidRPr="00B12CE3">
        <w:rPr>
          <w:rFonts w:hint="cs"/>
          <w:rtl/>
        </w:rPr>
        <w:t>י</w:t>
      </w:r>
      <w:r w:rsidRPr="00B12CE3">
        <w:rPr>
          <w:rtl/>
        </w:rPr>
        <w:t>עדר הסדרה חקיקתית מחייבת</w:t>
      </w:r>
      <w:r w:rsidRPr="00B12CE3">
        <w:rPr>
          <w:rFonts w:hint="cs"/>
          <w:rtl/>
        </w:rPr>
        <w:t>,</w:t>
      </w:r>
      <w:r w:rsidRPr="00B12CE3">
        <w:rPr>
          <w:rtl/>
        </w:rPr>
        <w:t xml:space="preserve"> קיימת שונות </w:t>
      </w:r>
      <w:r w:rsidRPr="00B12CE3">
        <w:rPr>
          <w:rFonts w:hint="cs"/>
          <w:rtl/>
        </w:rPr>
        <w:t xml:space="preserve">מסוימת </w:t>
      </w:r>
      <w:r w:rsidRPr="00B12CE3">
        <w:rPr>
          <w:rtl/>
        </w:rPr>
        <w:t xml:space="preserve">בין הרבנים המוסמכים לתת תעודת הכשר לעניין המדיניות למתן תעודת הכשר. </w:t>
      </w:r>
      <w:r w:rsidRPr="00B12CE3">
        <w:rPr>
          <w:rFonts w:hint="cs"/>
          <w:rtl/>
        </w:rPr>
        <w:t xml:space="preserve">עניין זה יוצר קושי, בין השאר, עבור יצרנים המשווקים תוצרתם בקנה מידה אזורי או ארצי, או עבור רשתות מזון </w:t>
      </w:r>
      <w:r w:rsidRPr="00B12CE3">
        <w:rPr>
          <w:rFonts w:hint="cs"/>
          <w:rtl/>
        </w:rPr>
        <w:lastRenderedPageBreak/>
        <w:t xml:space="preserve">הפועלות בפריסה ארצית, אשר נתקלים, לעיתים, בחוסר אחידות לעניין דרישות הכשרות של הרבנים המקומיים השונים.  עובדה זו יוצרת גם חוסר בהירות בקרב ציבור צרכני המזון הכשר, הואיל ובכל רשות מקומית תעודת ההכשר עשויה לשקף נורמות </w:t>
      </w:r>
      <w:proofErr w:type="spellStart"/>
      <w:r w:rsidRPr="00B12CE3">
        <w:rPr>
          <w:rFonts w:hint="cs"/>
          <w:rtl/>
        </w:rPr>
        <w:t>כשרותיות</w:t>
      </w:r>
      <w:proofErr w:type="spellEnd"/>
      <w:r w:rsidRPr="00B12CE3">
        <w:rPr>
          <w:rFonts w:hint="cs"/>
          <w:rtl/>
        </w:rPr>
        <w:t xml:space="preserve"> שונות.  </w:t>
      </w:r>
    </w:p>
    <w:p w14:paraId="4440352B" w14:textId="77777777" w:rsidR="00D53D89" w:rsidRPr="00B12CE3" w:rsidRDefault="00D53D89" w:rsidP="00B12CE3">
      <w:pPr>
        <w:pStyle w:val="Hesber"/>
        <w:rPr>
          <w:rtl/>
        </w:rPr>
      </w:pPr>
      <w:r w:rsidRPr="00B12CE3">
        <w:rPr>
          <w:rFonts w:hint="cs"/>
          <w:rtl/>
        </w:rPr>
        <w:t xml:space="preserve">יש לציין, כי בהתאם לסעיף 12 לחוק איסור הונאה בכשרות, </w:t>
      </w:r>
      <w:proofErr w:type="spellStart"/>
      <w:r w:rsidRPr="00B12CE3">
        <w:rPr>
          <w:rFonts w:hint="cs"/>
          <w:rtl/>
        </w:rPr>
        <w:t>התשמ"ג</w:t>
      </w:r>
      <w:proofErr w:type="spellEnd"/>
      <w:r w:rsidRPr="00B12CE3">
        <w:rPr>
          <w:rFonts w:hint="eastAsia"/>
          <w:rtl/>
        </w:rPr>
        <w:t>–</w:t>
      </w:r>
      <w:r w:rsidRPr="00B12CE3">
        <w:rPr>
          <w:rFonts w:hint="cs"/>
          <w:rtl/>
        </w:rPr>
        <w:t>1983, מי שסירבו לתת לו תעודת הכשר רשאי לערור על כך לפני מועצת הרבנות הראשית לישראל, כך שגם כעת המחוקק מכיר בסמכותה של המועצה להתערב בשיקול הדעת של רבנים מקומיים לעניין מתן תעודת הכשר. עם זאת, אין מדובר בהסדר חקיקתי המאפשר למועצה לקבוע מראש כללים אחידים למתן תעודת הכשר.</w:t>
      </w:r>
    </w:p>
    <w:p w14:paraId="6E447A2D" w14:textId="77777777" w:rsidR="00D53D89" w:rsidRPr="00B12CE3" w:rsidRDefault="00D53D89" w:rsidP="00B12CE3">
      <w:pPr>
        <w:pStyle w:val="Hesber"/>
        <w:rPr>
          <w:rtl/>
        </w:rPr>
      </w:pPr>
      <w:r w:rsidRPr="00B12CE3">
        <w:rPr>
          <w:rtl/>
        </w:rPr>
        <w:t xml:space="preserve">הצעת החוק נועדה להסמיך את המועצה לקבוע </w:t>
      </w:r>
      <w:r w:rsidRPr="00B12CE3">
        <w:rPr>
          <w:rFonts w:hint="cs"/>
          <w:rtl/>
        </w:rPr>
        <w:t xml:space="preserve">כללים אחידים </w:t>
      </w:r>
      <w:r w:rsidRPr="00B12CE3">
        <w:rPr>
          <w:rtl/>
        </w:rPr>
        <w:t>מחייב</w:t>
      </w:r>
      <w:r w:rsidRPr="00B12CE3">
        <w:rPr>
          <w:rFonts w:hint="cs"/>
          <w:rtl/>
        </w:rPr>
        <w:t>ים</w:t>
      </w:r>
      <w:r w:rsidRPr="00B12CE3">
        <w:rPr>
          <w:rtl/>
        </w:rPr>
        <w:t xml:space="preserve"> לעניין מתן תעודת הכשר</w:t>
      </w:r>
      <w:r w:rsidRPr="00B12CE3">
        <w:rPr>
          <w:rFonts w:hint="cs"/>
          <w:rtl/>
        </w:rPr>
        <w:t xml:space="preserve">. </w:t>
      </w:r>
      <w:r w:rsidRPr="00B12CE3">
        <w:rPr>
          <w:rtl/>
        </w:rPr>
        <w:t>ה</w:t>
      </w:r>
      <w:r w:rsidRPr="00B12CE3">
        <w:rPr>
          <w:rFonts w:hint="cs"/>
          <w:rtl/>
        </w:rPr>
        <w:t xml:space="preserve">כללים </w:t>
      </w:r>
      <w:r w:rsidRPr="00B12CE3">
        <w:rPr>
          <w:rtl/>
        </w:rPr>
        <w:t>יעסקו במכלול ההיבטים הנוגעים ל</w:t>
      </w:r>
      <w:r w:rsidRPr="00B12CE3">
        <w:rPr>
          <w:rFonts w:hint="cs"/>
          <w:rtl/>
        </w:rPr>
        <w:t>כשרות המזון בבית האוכל והם יהיו שקופים לציבור הרחב</w:t>
      </w:r>
      <w:r w:rsidRPr="00B12CE3">
        <w:rPr>
          <w:rtl/>
        </w:rPr>
        <w:t>.</w:t>
      </w:r>
      <w:r w:rsidRPr="00B12CE3">
        <w:rPr>
          <w:rFonts w:hint="cs"/>
          <w:rtl/>
        </w:rPr>
        <w:t xml:space="preserve"> </w:t>
      </w:r>
      <w:r w:rsidRPr="00B12CE3">
        <w:rPr>
          <w:rtl/>
        </w:rPr>
        <w:t xml:space="preserve">רב </w:t>
      </w:r>
      <w:r w:rsidRPr="00B12CE3">
        <w:rPr>
          <w:rFonts w:hint="cs"/>
          <w:rtl/>
        </w:rPr>
        <w:t xml:space="preserve">המוסמך לתת תעודת הכשר יהיה מחויב </w:t>
      </w:r>
      <w:r w:rsidRPr="00B12CE3">
        <w:rPr>
          <w:rtl/>
        </w:rPr>
        <w:t xml:space="preserve">לפעול אך ורק לפי </w:t>
      </w:r>
      <w:r w:rsidRPr="00B12CE3">
        <w:rPr>
          <w:rFonts w:hint="cs"/>
          <w:rtl/>
        </w:rPr>
        <w:t>ה</w:t>
      </w:r>
      <w:r w:rsidRPr="00B12CE3">
        <w:rPr>
          <w:rtl/>
        </w:rPr>
        <w:t xml:space="preserve">כללים שנקבעו. </w:t>
      </w:r>
      <w:r w:rsidRPr="00B12CE3">
        <w:rPr>
          <w:rFonts w:hint="cs"/>
          <w:rtl/>
        </w:rPr>
        <w:t>הצעת החוק תביא לקביעת סטנדרטים אחידים ומחייבים לרמות הכשרות השונות וליצירת ודאות ושקיפות ציבורית.</w:t>
      </w:r>
    </w:p>
    <w:p w14:paraId="540FFC18" w14:textId="77777777" w:rsidR="00D53D89" w:rsidRDefault="00D53D89" w:rsidP="00B12CE3">
      <w:pPr>
        <w:pStyle w:val="Hesber"/>
        <w:rPr>
          <w:rtl/>
        </w:rPr>
      </w:pPr>
      <w:r w:rsidRPr="00B12CE3">
        <w:rPr>
          <w:rFonts w:hint="cs"/>
          <w:rtl/>
        </w:rPr>
        <w:t>בנוסף, הצעת החוק מסדירה את הדרך לביטול הסמכת רב נותן הכשר בנסיבות</w:t>
      </w:r>
      <w:r w:rsidRPr="00B12CE3">
        <w:rPr>
          <w:rtl/>
        </w:rPr>
        <w:t xml:space="preserve"> </w:t>
      </w:r>
      <w:r w:rsidRPr="00B12CE3">
        <w:rPr>
          <w:rFonts w:hint="cs"/>
          <w:rtl/>
        </w:rPr>
        <w:t>בהן הרב פעל בחריגה מן הכללים שנקבעו, באמצעות ועדה שתמנה מועצת הרבנות הראשית אשר תהיה מורכבת מדיין, רב עיר או לחלופין שני רבני עיר, ומנהל אגף הכשרות הארצי ברבנות הראשית</w:t>
      </w:r>
      <w:r w:rsidRPr="00B12CE3">
        <w:rPr>
          <w:rtl/>
        </w:rPr>
        <w:t xml:space="preserve">. </w:t>
      </w:r>
      <w:r w:rsidRPr="00B12CE3">
        <w:rPr>
          <w:rFonts w:hint="cs"/>
          <w:rtl/>
        </w:rPr>
        <w:t>כמובן, שבמקביל לביטול הסמכה כאמור, מועצת הרבנות הראשית לישראל תידרש להסמיך רב עובד ציבור אחר לשם מתן תעודות הכשר באותה רשות מקומית או יישוב, לפי העניין.</w:t>
      </w:r>
    </w:p>
    <w:p w14:paraId="5BFFC983" w14:textId="51BEB0D4" w:rsidR="00B12CE3" w:rsidRDefault="00B12CE3" w:rsidP="00B12CE3">
      <w:pPr>
        <w:pStyle w:val="Hesber"/>
        <w:rPr>
          <w:rtl/>
        </w:rPr>
      </w:pPr>
      <w:r>
        <w:rPr>
          <w:rFonts w:hint="cs"/>
          <w:rtl/>
        </w:rPr>
        <w:t xml:space="preserve">הצעת חוק זהה הונחה על שולחן הכנסת העשרים על ידי חבר הכנסת בצלאל </w:t>
      </w:r>
      <w:proofErr w:type="spellStart"/>
      <w:r>
        <w:rPr>
          <w:rFonts w:hint="cs"/>
          <w:rtl/>
        </w:rPr>
        <w:t>סמוטריץ</w:t>
      </w:r>
      <w:proofErr w:type="spellEnd"/>
      <w:r>
        <w:rPr>
          <w:rFonts w:hint="cs"/>
          <w:rtl/>
        </w:rPr>
        <w:t>' וקבוצת חברי הכנסת (פ</w:t>
      </w:r>
      <w:r w:rsidR="005E5824">
        <w:rPr>
          <w:rFonts w:hint="cs"/>
          <w:rtl/>
        </w:rPr>
        <w:t>/</w:t>
      </w:r>
      <w:r>
        <w:rPr>
          <w:rFonts w:hint="cs"/>
          <w:rtl/>
        </w:rPr>
        <w:t>2784/20).</w:t>
      </w:r>
    </w:p>
    <w:p w14:paraId="0A693D5A" w14:textId="77777777" w:rsidR="005C314D" w:rsidRDefault="005C314D" w:rsidP="00B12CE3">
      <w:pPr>
        <w:pStyle w:val="Hesber"/>
        <w:rPr>
          <w:rtl/>
        </w:rPr>
      </w:pPr>
    </w:p>
    <w:p w14:paraId="36EDEF57" w14:textId="77777777" w:rsidR="005C314D" w:rsidRPr="00D73212" w:rsidRDefault="005C314D" w:rsidP="005C314D">
      <w:pPr>
        <w:pStyle w:val="Hesber"/>
        <w:rPr>
          <w:color w:val="auto"/>
          <w:rtl/>
          <w:lang w:eastAsia="en-US"/>
        </w:rPr>
      </w:pPr>
      <w:r w:rsidRPr="00D73212">
        <w:rPr>
          <w:color w:val="auto"/>
          <w:rtl/>
          <w:lang w:eastAsia="en-US"/>
        </w:rPr>
        <w:t>---------------------------------</w:t>
      </w:r>
    </w:p>
    <w:p w14:paraId="6103B087" w14:textId="77777777" w:rsidR="005C314D" w:rsidRPr="00D73212" w:rsidRDefault="005C314D" w:rsidP="005C314D">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598064E" w14:textId="77777777" w:rsidR="005C314D" w:rsidRPr="00D73212" w:rsidRDefault="005C314D" w:rsidP="005C314D">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1436C152" w14:textId="77777777" w:rsidR="005C314D" w:rsidRPr="00317312" w:rsidRDefault="005C314D" w:rsidP="005C314D">
      <w:pPr>
        <w:pStyle w:val="Hesber"/>
      </w:pPr>
      <w:r>
        <w:rPr>
          <w:rFonts w:hint="cs"/>
          <w:color w:val="auto"/>
          <w:rtl/>
          <w:lang w:eastAsia="en-US"/>
        </w:rPr>
        <w:t xml:space="preserve">י"ז באייר </w:t>
      </w:r>
      <w:proofErr w:type="spellStart"/>
      <w:r>
        <w:rPr>
          <w:rFonts w:hint="cs"/>
          <w:color w:val="auto"/>
          <w:rtl/>
          <w:lang w:eastAsia="en-US"/>
        </w:rPr>
        <w:t>התש"ף</w:t>
      </w:r>
      <w:proofErr w:type="spellEnd"/>
      <w:r>
        <w:rPr>
          <w:rFonts w:hint="cs"/>
          <w:color w:val="auto"/>
          <w:rtl/>
          <w:lang w:eastAsia="en-US"/>
        </w:rPr>
        <w:t xml:space="preserve"> </w:t>
      </w:r>
      <w:r w:rsidRPr="00D73212">
        <w:rPr>
          <w:color w:val="auto"/>
          <w:rtl/>
          <w:lang w:eastAsia="en-US"/>
        </w:rPr>
        <w:t>–</w:t>
      </w:r>
      <w:r>
        <w:rPr>
          <w:rFonts w:hint="cs"/>
          <w:color w:val="auto"/>
          <w:rtl/>
          <w:lang w:eastAsia="en-US"/>
        </w:rPr>
        <w:t xml:space="preserve"> 11.5</w:t>
      </w:r>
      <w:r w:rsidRPr="00D73212">
        <w:rPr>
          <w:color w:val="auto"/>
          <w:rtl/>
          <w:lang w:eastAsia="en-US"/>
        </w:rPr>
        <w:t>.</w:t>
      </w:r>
      <w:r>
        <w:rPr>
          <w:rFonts w:hint="cs"/>
          <w:color w:val="auto"/>
          <w:rtl/>
          <w:lang w:eastAsia="en-US"/>
        </w:rPr>
        <w:t xml:space="preserve">20  </w:t>
      </w:r>
    </w:p>
    <w:p w14:paraId="02634F82" w14:textId="77777777" w:rsidR="005C314D" w:rsidRPr="005C314D" w:rsidRDefault="005C314D" w:rsidP="00B12CE3">
      <w:pPr>
        <w:pStyle w:val="Hesber"/>
        <w:rPr>
          <w:rtl/>
        </w:rPr>
      </w:pPr>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BF71C" w14:textId="77777777" w:rsidR="00072A8E" w:rsidRDefault="00072A8E">
      <w:r>
        <w:separator/>
      </w:r>
    </w:p>
  </w:endnote>
  <w:endnote w:type="continuationSeparator" w:id="0">
    <w:p w14:paraId="77E0AEE9" w14:textId="77777777" w:rsidR="00072A8E" w:rsidRDefault="00072A8E">
      <w:r>
        <w:continuationSeparator/>
      </w:r>
    </w:p>
  </w:endnote>
  <w:endnote w:type="continuationNotice" w:id="1">
    <w:p w14:paraId="687B0A3C" w14:textId="77777777" w:rsidR="00072A8E" w:rsidRDefault="00072A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5C314D">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BE17" w14:textId="77777777" w:rsidR="00072A8E" w:rsidRDefault="00072A8E">
      <w:r>
        <w:separator/>
      </w:r>
    </w:p>
  </w:footnote>
  <w:footnote w:type="continuationSeparator" w:id="0">
    <w:p w14:paraId="1BC94B8E" w14:textId="77777777" w:rsidR="00072A8E" w:rsidRDefault="00072A8E">
      <w:r>
        <w:continuationSeparator/>
      </w:r>
    </w:p>
  </w:footnote>
  <w:footnote w:type="continuationNotice" w:id="1">
    <w:p w14:paraId="6821FACC" w14:textId="77777777" w:rsidR="00072A8E" w:rsidRDefault="00072A8E"/>
  </w:footnote>
  <w:footnote w:id="2">
    <w:p w14:paraId="0447065B" w14:textId="77777777" w:rsidR="00D53D89" w:rsidRDefault="00D53D89" w:rsidP="00D53D89">
      <w:pPr>
        <w:pStyle w:val="a4"/>
        <w:rPr>
          <w:rtl/>
        </w:rPr>
      </w:pPr>
      <w:r>
        <w:rPr>
          <w:rStyle w:val="a6"/>
        </w:rPr>
        <w:footnoteRef/>
      </w:r>
      <w:r>
        <w:rPr>
          <w:rtl/>
        </w:rPr>
        <w:t xml:space="preserve"> </w:t>
      </w:r>
      <w:r>
        <w:rPr>
          <w:rFonts w:hint="cs"/>
          <w:rtl/>
        </w:rPr>
        <w:t xml:space="preserve">ס"ח </w:t>
      </w:r>
      <w:proofErr w:type="spellStart"/>
      <w:r>
        <w:rPr>
          <w:rFonts w:hint="cs"/>
          <w:rtl/>
        </w:rPr>
        <w:t>התשמ"ג</w:t>
      </w:r>
      <w:proofErr w:type="spellEnd"/>
      <w:r>
        <w:rPr>
          <w:rFonts w:hint="cs"/>
          <w:rtl/>
        </w:rPr>
        <w:t>, עמ'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0NDI0tjA3NjQxMbdU0lEKTi0uzszPAykwrAUAdoQWbCwAAAA="/>
    <w:docVar w:name="OriginalName" w:val="tmp482240lsCopyOriginal.docx"/>
    <w:docVar w:name="StartMode" w:val="2"/>
  </w:docVars>
  <w:rsids>
    <w:rsidRoot w:val="00DB7060"/>
    <w:rsid w:val="0000131B"/>
    <w:rsid w:val="00015B27"/>
    <w:rsid w:val="00063A3E"/>
    <w:rsid w:val="00072A8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3517B"/>
    <w:rsid w:val="00553C9D"/>
    <w:rsid w:val="00562A66"/>
    <w:rsid w:val="005B064E"/>
    <w:rsid w:val="005C314D"/>
    <w:rsid w:val="005D51AE"/>
    <w:rsid w:val="005E5824"/>
    <w:rsid w:val="0062674B"/>
    <w:rsid w:val="006363B2"/>
    <w:rsid w:val="00644940"/>
    <w:rsid w:val="006818A9"/>
    <w:rsid w:val="006A2D81"/>
    <w:rsid w:val="006C1D0D"/>
    <w:rsid w:val="006F2C07"/>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2CE3"/>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53D89"/>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7488A4C-841D-4E6C-83FF-E06E5AD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D53D89"/>
    <w:rPr>
      <w:rFonts w:ascii="Arial" w:eastAsia="Arial Unicode MS" w:hAnsi="Arial" w:cs="David"/>
      <w:snapToGrid w:val="0"/>
      <w:color w:val="000000"/>
      <w:sz w:val="14"/>
      <w:lang w:eastAsia="ja-JP"/>
    </w:rPr>
  </w:style>
  <w:style w:type="character" w:customStyle="1" w:styleId="default">
    <w:name w:val="default"/>
    <w:rsid w:val="00D53D89"/>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50B55-DFCF-4690-B041-3CD90B34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534CDA-4123-46AC-ADA3-AD03CFBB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3820</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Mirit Zmiry</cp:lastModifiedBy>
  <cp:revision>2</cp:revision>
  <cp:lastPrinted>2013-07-04T08:25:00Z</cp:lastPrinted>
  <dcterms:created xsi:type="dcterms:W3CDTF">2020-05-17T12:29:00Z</dcterms:created>
  <dcterms:modified xsi:type="dcterms:W3CDTF">2020-05-17T12:29:00Z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2087200</vt:r8>
  </property>
</Properties>
</file>