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61A1" w14:textId="77777777" w:rsidR="002C2E29" w:rsidRPr="00E635A2" w:rsidRDefault="004033D8" w:rsidP="00E635A2">
      <w:pPr>
        <w:jc w:val="right"/>
        <w:rPr>
          <w:rFonts w:cs="David"/>
          <w:b/>
          <w:bCs/>
          <w:sz w:val="20"/>
          <w:szCs w:val="20"/>
        </w:rPr>
      </w:pPr>
      <w:r w:rsidRPr="00E635A2">
        <w:rPr>
          <w:rFonts w:cs="David" w:hint="cs"/>
          <w:sz w:val="20"/>
          <w:szCs w:val="20"/>
          <w:rtl/>
        </w:rPr>
        <w:t xml:space="preserve">מספר פנימי: </w:t>
      </w:r>
      <w:bookmarkStart w:id="0" w:name="LGS_Internal_ID"/>
      <w:r>
        <w:rPr>
          <w:rFonts w:cs="David" w:hint="cs"/>
          <w:sz w:val="20"/>
          <w:szCs w:val="20"/>
          <w:rtl/>
        </w:rPr>
        <w:t>2159034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 וארבע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 xml:space="preserve">אורלי לוי </w:t>
      </w:r>
      <w:proofErr w:type="spellStart"/>
      <w:r>
        <w:rPr>
          <w:rFonts w:hint="cs"/>
          <w:b/>
          <w:bCs/>
          <w:rtl/>
        </w:rPr>
        <w:t>אבקסיס</w:t>
      </w:r>
      <w:bookmarkEnd w:id="3"/>
      <w:proofErr w:type="spellEnd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4" w:name="Private_Number"/>
      <w:r>
        <w:rPr>
          <w:rFonts w:hint="cs"/>
          <w:rtl/>
        </w:rPr>
        <w:t>פ/1740/24</w:t>
      </w:r>
      <w:bookmarkEnd w:id="4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5" w:name="LGS_Subject"/>
      <w:r>
        <w:rPr>
          <w:rFonts w:hint="cs"/>
          <w:rtl/>
        </w:rPr>
        <w:t xml:space="preserve">הצעת חוק סבסוד מוצרים ללא גלוטן, </w:t>
      </w:r>
      <w:proofErr w:type="spellStart"/>
      <w:r>
        <w:rPr>
          <w:rFonts w:hint="cs"/>
          <w:rtl/>
        </w:rPr>
        <w:t>התשפ"א</w:t>
      </w:r>
      <w:proofErr w:type="spellEnd"/>
      <w:r>
        <w:rPr>
          <w:rFonts w:hint="cs"/>
          <w:rtl/>
        </w:rPr>
        <w:t>–2021</w:t>
      </w:r>
      <w:bookmarkEnd w:id="5"/>
    </w:p>
    <w:tbl>
      <w:tblPr>
        <w:bidiVisual/>
        <w:tblW w:w="978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285"/>
      </w:tblGrid>
      <w:tr w:rsidR="00305D95" w:rsidRPr="00C34DE2" w14:paraId="4E1BDC3A" w14:textId="77777777" w:rsidTr="00305D95">
        <w:trPr>
          <w:cantSplit/>
        </w:trPr>
        <w:tc>
          <w:tcPr>
            <w:tcW w:w="1871" w:type="dxa"/>
          </w:tcPr>
          <w:p w14:paraId="2FD848E1" w14:textId="77777777" w:rsidR="00305D95" w:rsidRPr="00AF0AFB" w:rsidRDefault="00305D95" w:rsidP="000E13AF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מטרה</w:t>
            </w:r>
          </w:p>
        </w:tc>
        <w:tc>
          <w:tcPr>
            <w:tcW w:w="624" w:type="dxa"/>
          </w:tcPr>
          <w:p w14:paraId="1770AD24" w14:textId="77777777" w:rsidR="00305D95" w:rsidRDefault="00305D95" w:rsidP="000E13AF">
            <w:pPr>
              <w:pStyle w:val="TableText"/>
              <w:keepLines w:val="0"/>
              <w:numPr>
                <w:ilvl w:val="0"/>
                <w:numId w:val="12"/>
              </w:numPr>
              <w:autoSpaceDE/>
              <w:autoSpaceDN/>
              <w:adjustRightInd/>
              <w:ind w:right="0"/>
              <w:contextualSpacing/>
              <w:textAlignment w:val="auto"/>
            </w:pPr>
          </w:p>
        </w:tc>
        <w:tc>
          <w:tcPr>
            <w:tcW w:w="7285" w:type="dxa"/>
          </w:tcPr>
          <w:p w14:paraId="58AF09E8" w14:textId="77777777" w:rsidR="00305D95" w:rsidRPr="00C34DE2" w:rsidRDefault="00305D95" w:rsidP="000E13AF">
            <w:pPr>
              <w:pStyle w:val="TableBlock"/>
            </w:pPr>
            <w:r>
              <w:rPr>
                <w:rFonts w:hint="cs"/>
                <w:rtl/>
              </w:rPr>
              <w:t>מטרתו של חוק זה היא לתמוך בחולי צליאק בישראל באמצעות סבסוד חלקי של מוצרים ללא גלוטן.</w:t>
            </w:r>
          </w:p>
        </w:tc>
      </w:tr>
      <w:tr w:rsidR="00305D95" w14:paraId="170CCE10" w14:textId="77777777" w:rsidTr="00305D95">
        <w:trPr>
          <w:cantSplit/>
        </w:trPr>
        <w:tc>
          <w:tcPr>
            <w:tcW w:w="1871" w:type="dxa"/>
          </w:tcPr>
          <w:p w14:paraId="1DDC79D5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הגדרות</w:t>
            </w:r>
          </w:p>
        </w:tc>
        <w:tc>
          <w:tcPr>
            <w:tcW w:w="624" w:type="dxa"/>
          </w:tcPr>
          <w:p w14:paraId="2E3AB546" w14:textId="77777777" w:rsidR="00305D95" w:rsidRDefault="00305D95" w:rsidP="000E13AF">
            <w:pPr>
              <w:pStyle w:val="TableTex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7285" w:type="dxa"/>
          </w:tcPr>
          <w:p w14:paraId="1D49108E" w14:textId="77777777" w:rsidR="00305D95" w:rsidRDefault="00305D95" w:rsidP="000E13A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 xml:space="preserve">בחוק זה </w:t>
            </w:r>
            <w:r>
              <w:rPr>
                <w:rFonts w:hint="eastAsia"/>
                <w:rtl/>
              </w:rPr>
              <w:t>–</w:t>
            </w:r>
          </w:p>
        </w:tc>
      </w:tr>
      <w:tr w:rsidR="00305D95" w:rsidRPr="00123E34" w14:paraId="0A9B2D86" w14:textId="77777777" w:rsidTr="00305D95">
        <w:trPr>
          <w:cantSplit/>
        </w:trPr>
        <w:tc>
          <w:tcPr>
            <w:tcW w:w="1871" w:type="dxa"/>
          </w:tcPr>
          <w:p w14:paraId="6149F14F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6CBB580F" w14:textId="77777777" w:rsidR="00305D95" w:rsidRDefault="00305D95" w:rsidP="000E13AF">
            <w:pPr>
              <w:pStyle w:val="TableText"/>
              <w:rPr>
                <w:rtl/>
              </w:rPr>
            </w:pPr>
          </w:p>
        </w:tc>
        <w:tc>
          <w:tcPr>
            <w:tcW w:w="7285" w:type="dxa"/>
          </w:tcPr>
          <w:p w14:paraId="6A2E3B05" w14:textId="77777777" w:rsidR="00305D95" w:rsidRPr="00123E34" w:rsidRDefault="00305D95" w:rsidP="000E13AF">
            <w:pPr>
              <w:pStyle w:val="TableBlockOutdent"/>
              <w:rPr>
                <w:rtl/>
              </w:rPr>
            </w:pPr>
            <w:r w:rsidRPr="00123E34">
              <w:rPr>
                <w:rFonts w:hint="cs"/>
                <w:rtl/>
              </w:rPr>
              <w:t xml:space="preserve">"גלוטן" </w:t>
            </w:r>
            <w:r w:rsidRPr="00123E34">
              <w:rPr>
                <w:rtl/>
              </w:rPr>
              <w:t>–</w:t>
            </w:r>
            <w:r w:rsidRPr="00123E34">
              <w:rPr>
                <w:rFonts w:hint="cs"/>
                <w:rtl/>
              </w:rPr>
              <w:t xml:space="preserve"> חלבון מן הצומח הנמצא בגרעיני חיטה, שיפון, שעורה, שיבולת שועל ומוצריהם לרבות עמילני</w:t>
            </w:r>
            <w:r w:rsidRPr="00123E34">
              <w:rPr>
                <w:rFonts w:hint="eastAsia"/>
                <w:rtl/>
              </w:rPr>
              <w:t>ם</w:t>
            </w:r>
            <w:r w:rsidRPr="00123E34">
              <w:rPr>
                <w:rFonts w:hint="cs"/>
                <w:rtl/>
              </w:rPr>
              <w:t>, לתת וסובין;</w:t>
            </w:r>
          </w:p>
        </w:tc>
      </w:tr>
      <w:tr w:rsidR="00305D95" w:rsidRPr="00123E34" w14:paraId="0F82C146" w14:textId="77777777" w:rsidTr="00305D95">
        <w:trPr>
          <w:cantSplit/>
        </w:trPr>
        <w:tc>
          <w:tcPr>
            <w:tcW w:w="1871" w:type="dxa"/>
          </w:tcPr>
          <w:p w14:paraId="7E2E2712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4B9DE2FC" w14:textId="77777777" w:rsidR="00305D95" w:rsidRDefault="00305D95" w:rsidP="000E13AF">
            <w:pPr>
              <w:pStyle w:val="TableText"/>
              <w:rPr>
                <w:rtl/>
              </w:rPr>
            </w:pPr>
          </w:p>
        </w:tc>
        <w:tc>
          <w:tcPr>
            <w:tcW w:w="7285" w:type="dxa"/>
          </w:tcPr>
          <w:p w14:paraId="0319CAB9" w14:textId="77777777" w:rsidR="00305D95" w:rsidRPr="00123E34" w:rsidRDefault="00305D95" w:rsidP="000E13AF">
            <w:pPr>
              <w:pStyle w:val="TableBlockOutdent"/>
              <w:rPr>
                <w:rtl/>
              </w:rPr>
            </w:pPr>
            <w:r w:rsidRPr="00123E34">
              <w:rPr>
                <w:rFonts w:hint="cs"/>
                <w:rtl/>
              </w:rPr>
              <w:t xml:space="preserve">"זכאי לסבסוד" </w:t>
            </w:r>
            <w:r w:rsidRPr="00123E34">
              <w:rPr>
                <w:rtl/>
              </w:rPr>
              <w:t>–</w:t>
            </w:r>
            <w:r w:rsidRPr="00123E34">
              <w:rPr>
                <w:rFonts w:hint="cs"/>
                <w:rtl/>
              </w:rPr>
              <w:t xml:space="preserve"> יחיד אשר אובחן כחולה כרסת או יחיד אשר </w:t>
            </w:r>
            <w:r>
              <w:rPr>
                <w:rFonts w:hint="cs"/>
                <w:rtl/>
              </w:rPr>
              <w:t>קרוב משפחתו אובחן כחולה כרסת;</w:t>
            </w:r>
          </w:p>
        </w:tc>
      </w:tr>
      <w:tr w:rsidR="00305D95" w:rsidRPr="00123E34" w14:paraId="1CA1D9F4" w14:textId="77777777" w:rsidTr="00305D95">
        <w:trPr>
          <w:cantSplit/>
        </w:trPr>
        <w:tc>
          <w:tcPr>
            <w:tcW w:w="1871" w:type="dxa"/>
          </w:tcPr>
          <w:p w14:paraId="263D5866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1A7513DA" w14:textId="77777777" w:rsidR="00305D95" w:rsidRDefault="00305D95" w:rsidP="000E13AF">
            <w:pPr>
              <w:pStyle w:val="TableText"/>
              <w:rPr>
                <w:rtl/>
              </w:rPr>
            </w:pPr>
          </w:p>
        </w:tc>
        <w:tc>
          <w:tcPr>
            <w:tcW w:w="7285" w:type="dxa"/>
          </w:tcPr>
          <w:p w14:paraId="18876106" w14:textId="77777777" w:rsidR="00305D95" w:rsidRPr="00123E34" w:rsidRDefault="00305D95" w:rsidP="000E13AF">
            <w:pPr>
              <w:pStyle w:val="TableBlockOutdent"/>
              <w:rPr>
                <w:rtl/>
              </w:rPr>
            </w:pPr>
            <w:r w:rsidRPr="00123E34">
              <w:rPr>
                <w:rFonts w:hint="cs"/>
                <w:rtl/>
              </w:rPr>
              <w:t xml:space="preserve">"כרסת"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מחלה אוטואימונית,</w:t>
            </w:r>
            <w:r w:rsidRPr="00123E34">
              <w:rPr>
                <w:rFonts w:hint="cs"/>
                <w:rtl/>
              </w:rPr>
              <w:t xml:space="preserve"> בשמה הלועזי </w:t>
            </w:r>
            <w:r w:rsidRPr="00123E3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צליאק;</w:t>
            </w:r>
          </w:p>
        </w:tc>
      </w:tr>
      <w:tr w:rsidR="00305D95" w:rsidRPr="00146D3D" w14:paraId="2A772A17" w14:textId="77777777" w:rsidTr="00305D95">
        <w:trPr>
          <w:cantSplit/>
        </w:trPr>
        <w:tc>
          <w:tcPr>
            <w:tcW w:w="1871" w:type="dxa"/>
          </w:tcPr>
          <w:p w14:paraId="08333704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2FD251F8" w14:textId="77777777" w:rsidR="00305D95" w:rsidRDefault="00305D95" w:rsidP="000E13AF">
            <w:pPr>
              <w:pStyle w:val="TableText"/>
              <w:rPr>
                <w:rtl/>
              </w:rPr>
            </w:pPr>
          </w:p>
        </w:tc>
        <w:tc>
          <w:tcPr>
            <w:tcW w:w="7285" w:type="dxa"/>
          </w:tcPr>
          <w:p w14:paraId="329F75CE" w14:textId="77777777" w:rsidR="00305D95" w:rsidRPr="00146D3D" w:rsidRDefault="00305D95" w:rsidP="000E13AF">
            <w:pPr>
              <w:pStyle w:val="TableBlockOutdent"/>
              <w:rPr>
                <w:rtl/>
              </w:rPr>
            </w:pPr>
            <w:r w:rsidRPr="00146D3D">
              <w:rPr>
                <w:rtl/>
              </w:rPr>
              <w:t>"</w:t>
            </w:r>
            <w:r w:rsidRPr="00146D3D">
              <w:rPr>
                <w:rFonts w:hint="cs"/>
                <w:rtl/>
              </w:rPr>
              <w:t xml:space="preserve">מזון" </w:t>
            </w:r>
            <w:r w:rsidRPr="00146D3D">
              <w:rPr>
                <w:rtl/>
              </w:rPr>
              <w:t>–</w:t>
            </w:r>
            <w:r w:rsidRPr="00146D3D">
              <w:rPr>
                <w:rFonts w:hint="cs"/>
                <w:rtl/>
              </w:rPr>
              <w:t xml:space="preserve"> כהגדרתו בחוק הגנה על בריאות הציבור (מזון), </w:t>
            </w:r>
            <w:proofErr w:type="spellStart"/>
            <w:r w:rsidRPr="00146D3D">
              <w:rPr>
                <w:rFonts w:hint="cs"/>
                <w:rtl/>
              </w:rPr>
              <w:t>התשע"ו</w:t>
            </w:r>
            <w:proofErr w:type="spellEnd"/>
            <w:r w:rsidRPr="00146D3D">
              <w:rPr>
                <w:rFonts w:hint="eastAsia"/>
                <w:rtl/>
              </w:rPr>
              <w:t>–</w:t>
            </w:r>
            <w:r w:rsidRPr="00146D3D">
              <w:rPr>
                <w:rFonts w:hint="cs"/>
                <w:rtl/>
              </w:rPr>
              <w:t>2015</w:t>
            </w:r>
            <w:r w:rsidRPr="00146D3D">
              <w:rPr>
                <w:vertAlign w:val="superscript"/>
                <w:rtl/>
              </w:rPr>
              <w:footnoteReference w:id="2"/>
            </w:r>
            <w:r w:rsidRPr="00146D3D">
              <w:rPr>
                <w:rFonts w:hint="cs"/>
                <w:rtl/>
              </w:rPr>
              <w:t>;</w:t>
            </w:r>
          </w:p>
        </w:tc>
      </w:tr>
      <w:tr w:rsidR="00305D95" w:rsidRPr="00123E34" w14:paraId="25500330" w14:textId="77777777" w:rsidTr="00305D95">
        <w:trPr>
          <w:cantSplit/>
        </w:trPr>
        <w:tc>
          <w:tcPr>
            <w:tcW w:w="1871" w:type="dxa"/>
          </w:tcPr>
          <w:p w14:paraId="38968E6C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2E28574" w14:textId="77777777" w:rsidR="00305D95" w:rsidRDefault="00305D95" w:rsidP="000E13AF">
            <w:pPr>
              <w:pStyle w:val="TableText"/>
              <w:rPr>
                <w:rtl/>
              </w:rPr>
            </w:pPr>
          </w:p>
        </w:tc>
        <w:tc>
          <w:tcPr>
            <w:tcW w:w="7285" w:type="dxa"/>
          </w:tcPr>
          <w:p w14:paraId="472659CE" w14:textId="0EF28B2D" w:rsidR="00305D95" w:rsidRPr="00123E34" w:rsidRDefault="00305D95" w:rsidP="00D118E1">
            <w:pPr>
              <w:pStyle w:val="TableBlockOutdent"/>
              <w:rPr>
                <w:rtl/>
              </w:rPr>
            </w:pPr>
            <w:r w:rsidRPr="00123E34">
              <w:rPr>
                <w:rtl/>
              </w:rPr>
              <w:t>"</w:t>
            </w:r>
            <w:r w:rsidRPr="00123E34">
              <w:rPr>
                <w:rFonts w:hint="cs"/>
                <w:rtl/>
              </w:rPr>
              <w:t xml:space="preserve">מזון ללא גלוטן" </w:t>
            </w:r>
            <w:r w:rsidRPr="00123E34">
              <w:rPr>
                <w:rtl/>
              </w:rPr>
              <w:t>–</w:t>
            </w:r>
            <w:r w:rsidRPr="00123E34">
              <w:rPr>
                <w:rFonts w:hint="cs"/>
                <w:rtl/>
              </w:rPr>
              <w:t xml:space="preserve"> מזון </w:t>
            </w:r>
            <w:r w:rsidR="00D118E1">
              <w:rPr>
                <w:rFonts w:hint="cs"/>
                <w:rtl/>
              </w:rPr>
              <w:t xml:space="preserve">שמרכיביו המקובלים הנדרשים לייצורו מכילים גלוטן, והגלוטן בו </w:t>
            </w:r>
            <w:r w:rsidRPr="00123E34">
              <w:rPr>
                <w:rFonts w:hint="cs"/>
                <w:rtl/>
              </w:rPr>
              <w:t>אינו עולה על 20 חלקים למיליון;</w:t>
            </w:r>
          </w:p>
        </w:tc>
      </w:tr>
      <w:tr w:rsidR="00305D95" w:rsidRPr="00123E34" w14:paraId="64DE7A86" w14:textId="77777777" w:rsidTr="00305D95">
        <w:trPr>
          <w:cantSplit/>
        </w:trPr>
        <w:tc>
          <w:tcPr>
            <w:tcW w:w="1871" w:type="dxa"/>
          </w:tcPr>
          <w:p w14:paraId="099720A2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14:paraId="05CB9250" w14:textId="77777777" w:rsidR="00305D95" w:rsidRDefault="00305D95" w:rsidP="000E13AF">
            <w:pPr>
              <w:pStyle w:val="TableText"/>
              <w:rPr>
                <w:rtl/>
              </w:rPr>
            </w:pPr>
          </w:p>
        </w:tc>
        <w:tc>
          <w:tcPr>
            <w:tcW w:w="7285" w:type="dxa"/>
          </w:tcPr>
          <w:p w14:paraId="6DB8C806" w14:textId="77777777" w:rsidR="00305D95" w:rsidRPr="00123E34" w:rsidRDefault="00305D95" w:rsidP="000E13AF">
            <w:pPr>
              <w:pStyle w:val="TableBlockOutdent"/>
              <w:rPr>
                <w:rtl/>
              </w:rPr>
            </w:pPr>
            <w:r w:rsidRPr="00123E34">
              <w:rPr>
                <w:rtl/>
              </w:rPr>
              <w:t>"</w:t>
            </w:r>
            <w:r w:rsidRPr="00123E34">
              <w:rPr>
                <w:rFonts w:hint="cs"/>
                <w:rtl/>
              </w:rPr>
              <w:t xml:space="preserve">השר" </w:t>
            </w:r>
            <w:r w:rsidRPr="00123E34">
              <w:rPr>
                <w:rtl/>
              </w:rPr>
              <w:t>–</w:t>
            </w:r>
            <w:r w:rsidRPr="00123E34">
              <w:rPr>
                <w:rFonts w:hint="cs"/>
                <w:rtl/>
              </w:rPr>
              <w:t xml:space="preserve"> שר הבריאות.</w:t>
            </w:r>
          </w:p>
        </w:tc>
      </w:tr>
      <w:tr w:rsidR="00305D95" w:rsidRPr="00AF0AFB" w14:paraId="5CA9AA53" w14:textId="77777777" w:rsidTr="00305D95">
        <w:trPr>
          <w:cantSplit/>
        </w:trPr>
        <w:tc>
          <w:tcPr>
            <w:tcW w:w="1871" w:type="dxa"/>
          </w:tcPr>
          <w:p w14:paraId="460F59B2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סבסוד מוצרים ללא גלוטן</w:t>
            </w:r>
          </w:p>
        </w:tc>
        <w:tc>
          <w:tcPr>
            <w:tcW w:w="624" w:type="dxa"/>
          </w:tcPr>
          <w:p w14:paraId="55F0D489" w14:textId="77777777" w:rsidR="00305D95" w:rsidRDefault="00305D95" w:rsidP="000E13A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7285" w:type="dxa"/>
          </w:tcPr>
          <w:p w14:paraId="13166191" w14:textId="77777777" w:rsidR="00305D95" w:rsidRPr="00AF0AFB" w:rsidRDefault="00305D95" w:rsidP="000E13A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זכאי לסבסוד זכאי לקבל מהמדינה סבסוד בשיעור של 50 אחוזים ממחיר מוצר של מזון ללא גלוטן.</w:t>
            </w:r>
          </w:p>
        </w:tc>
      </w:tr>
      <w:tr w:rsidR="00305D95" w14:paraId="62323938" w14:textId="77777777" w:rsidTr="00305D95">
        <w:trPr>
          <w:cantSplit/>
        </w:trPr>
        <w:tc>
          <w:tcPr>
            <w:tcW w:w="1871" w:type="dxa"/>
          </w:tcPr>
          <w:p w14:paraId="73F82A42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ביצוע</w:t>
            </w:r>
          </w:p>
        </w:tc>
        <w:tc>
          <w:tcPr>
            <w:tcW w:w="624" w:type="dxa"/>
          </w:tcPr>
          <w:p w14:paraId="127A2CB3" w14:textId="77777777" w:rsidR="00305D95" w:rsidRDefault="00305D95" w:rsidP="000E13A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7285" w:type="dxa"/>
          </w:tcPr>
          <w:p w14:paraId="74119947" w14:textId="77777777" w:rsidR="00305D95" w:rsidRDefault="00305D95" w:rsidP="000E13A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השר ממונה על ביצוע חוק זה, והוא רשאי להתקין תקנות בכל עניין הנוגע לביצועו.</w:t>
            </w:r>
          </w:p>
        </w:tc>
      </w:tr>
      <w:tr w:rsidR="00305D95" w14:paraId="221E9665" w14:textId="77777777" w:rsidTr="00305D95">
        <w:trPr>
          <w:cantSplit/>
        </w:trPr>
        <w:tc>
          <w:tcPr>
            <w:tcW w:w="1871" w:type="dxa"/>
          </w:tcPr>
          <w:p w14:paraId="3BCA0012" w14:textId="77777777" w:rsidR="00305D95" w:rsidRDefault="00305D95" w:rsidP="000E13AF">
            <w:pPr>
              <w:pStyle w:val="TableSideHeading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שמירת זכויות</w:t>
            </w:r>
          </w:p>
        </w:tc>
        <w:tc>
          <w:tcPr>
            <w:tcW w:w="624" w:type="dxa"/>
          </w:tcPr>
          <w:p w14:paraId="4F718D80" w14:textId="77777777" w:rsidR="00305D95" w:rsidRDefault="00305D95" w:rsidP="000E13A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7285" w:type="dxa"/>
          </w:tcPr>
          <w:p w14:paraId="524E54F8" w14:textId="77777777" w:rsidR="00305D95" w:rsidRDefault="00305D95" w:rsidP="000E13A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חוק זה בא להוסיף על כל זכות או חובה הקבועות על פי דין ואינו בא למעט מהן.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49CD6A4F" w14:textId="77777777" w:rsidR="00305D95" w:rsidRPr="00C27784" w:rsidRDefault="00305D95" w:rsidP="00305D95">
      <w:pPr>
        <w:pStyle w:val="Hesber"/>
        <w:rPr>
          <w:rtl/>
        </w:rPr>
      </w:pPr>
      <w:r w:rsidRPr="00C27784">
        <w:rPr>
          <w:rtl/>
        </w:rPr>
        <w:t xml:space="preserve">מחלת הצליאק </w:t>
      </w:r>
      <w:r w:rsidRPr="00C27784">
        <w:rPr>
          <w:rFonts w:hint="cs"/>
          <w:rtl/>
        </w:rPr>
        <w:t>היא</w:t>
      </w:r>
      <w:r w:rsidRPr="00C27784">
        <w:rPr>
          <w:rtl/>
        </w:rPr>
        <w:t xml:space="preserve"> אי סבילות מולדת וקבועה לגלוטן, שהי</w:t>
      </w:r>
      <w:r w:rsidRPr="00C27784">
        <w:rPr>
          <w:rFonts w:hint="cs"/>
          <w:rtl/>
        </w:rPr>
        <w:t>א</w:t>
      </w:r>
      <w:r w:rsidRPr="00C27784">
        <w:rPr>
          <w:rtl/>
        </w:rPr>
        <w:t xml:space="preserve"> מרכיב חלבוני המצוי בדגנים: חיטה, שעורה, שיפון, שיבולת שועל. לאנשים רגישים אכילת הגלוטן גורמת לתהליך אימונולוגי בדופן המעי, הגורם להתפתחות דלקת במעי הדק ולנזק תפקודי. </w:t>
      </w:r>
    </w:p>
    <w:p w14:paraId="68743708" w14:textId="77777777" w:rsidR="00305D95" w:rsidRPr="00C27784" w:rsidRDefault="00305D95" w:rsidP="00305D95">
      <w:pPr>
        <w:pStyle w:val="Hesber"/>
        <w:rPr>
          <w:rtl/>
        </w:rPr>
      </w:pPr>
      <w:r w:rsidRPr="00C27784">
        <w:rPr>
          <w:rtl/>
        </w:rPr>
        <w:lastRenderedPageBreak/>
        <w:t>חולי הצליאק, ככל האזרחים, זכאים למילוי הצורך הבסיסי והיסודי של כל אדם – מזון נגיש במחיר סביר. מכך נגזרת חובת</w:t>
      </w:r>
      <w:r w:rsidRPr="00C27784">
        <w:rPr>
          <w:rFonts w:hint="cs"/>
          <w:rtl/>
        </w:rPr>
        <w:t>ה</w:t>
      </w:r>
      <w:r w:rsidRPr="00C27784">
        <w:rPr>
          <w:rtl/>
        </w:rPr>
        <w:t xml:space="preserve"> של המדינה והחברה לספק לחולי הצליאק מזון המתאים לצרכיהם במחיר שווה לכל נפש.</w:t>
      </w:r>
      <w:r w:rsidRPr="00C27784">
        <w:rPr>
          <w:rFonts w:hint="cs"/>
          <w:rtl/>
        </w:rPr>
        <w:t xml:space="preserve"> בפועל מחיריהם של מוצרים נטולי גלוטן גבוהים בצורה משמעותית ממחירים של מוצרי מזון רגילים, והדבר מטיל נטל כלכלי כבד על חולי צליאק.</w:t>
      </w:r>
    </w:p>
    <w:p w14:paraId="4D70220B" w14:textId="1F7FBC6E" w:rsidR="00305D95" w:rsidRDefault="00305D95" w:rsidP="00305D95">
      <w:pPr>
        <w:pStyle w:val="Hesber"/>
        <w:rPr>
          <w:rtl/>
        </w:rPr>
      </w:pPr>
      <w:r w:rsidRPr="00C27784">
        <w:rPr>
          <w:rFonts w:hint="cs"/>
          <w:rtl/>
        </w:rPr>
        <w:t>מטרתה של הצעת חוק זו היא לאפשר לחולי צליאק לרכוש את המזון הדרוש להם לצריכה ללא סיכון לבריאותם ולחייהם במחיר בו רוכשת כלל הא</w:t>
      </w:r>
      <w:r>
        <w:rPr>
          <w:rFonts w:hint="cs"/>
          <w:rtl/>
        </w:rPr>
        <w:t>וכלוסייה את מצרכיה הבסיסיים,</w:t>
      </w:r>
      <w:r w:rsidRPr="00C27784">
        <w:rPr>
          <w:rFonts w:hint="cs"/>
          <w:rtl/>
        </w:rPr>
        <w:t xml:space="preserve"> על ידי סבסוד חלקי של המדינה למוצרים ללא גלוטן. בכך תעניק המדינה אוזן קשבת לאוכלוסייה </w:t>
      </w:r>
      <w:r>
        <w:rPr>
          <w:rFonts w:hint="cs"/>
          <w:rtl/>
        </w:rPr>
        <w:t>ספציפית עם בעיה ייחודית, מענה ש</w:t>
      </w:r>
      <w:r w:rsidRPr="00C27784">
        <w:rPr>
          <w:rFonts w:hint="cs"/>
          <w:rtl/>
        </w:rPr>
        <w:t>וויוני וראוי לפי העקרונות המדינתיים והחברתיים של מדינת ישראל.</w:t>
      </w:r>
    </w:p>
    <w:p w14:paraId="7F6961CB" w14:textId="77777777" w:rsidR="00E13C27" w:rsidRDefault="00E13C27" w:rsidP="00E13C27">
      <w:pPr>
        <w:pStyle w:val="Hesber"/>
      </w:pPr>
    </w:p>
    <w:p w14:paraId="3ECC99A5" w14:textId="77777777" w:rsidR="00D7209F" w:rsidRDefault="00D7209F" w:rsidP="00E13C27">
      <w:pPr>
        <w:pStyle w:val="Hesber"/>
        <w:rPr>
          <w:rtl/>
        </w:rPr>
      </w:pPr>
    </w:p>
    <w:p w14:paraId="4FC7D6A4" w14:textId="77777777" w:rsidR="003A0274" w:rsidRDefault="00D7209F">
      <w:pPr>
        <w:spacing w:before="0" w:line="360" w:lineRule="auto"/>
        <w:jc w:val="left"/>
      </w:pPr>
      <w:bookmarkStart w:id="6" w:name="selectedDocDateB"/>
      <w:bookmarkEnd w:id="6"/>
      <w:r>
        <w:rPr>
          <w:rFonts w:ascii="David" w:eastAsia="David" w:hAnsi="David" w:cs="David" w:hint="cs"/>
          <w:sz w:val="26"/>
          <w:szCs w:val="26"/>
          <w:rtl/>
        </w:rPr>
        <w:t>--------------------------------</w:t>
      </w:r>
    </w:p>
    <w:p w14:paraId="4082330F" w14:textId="77777777" w:rsidR="003A0274" w:rsidRDefault="00D7209F">
      <w:pPr>
        <w:spacing w:before="0" w:line="360" w:lineRule="auto"/>
        <w:jc w:val="left"/>
      </w:pPr>
      <w:r>
        <w:rPr>
          <w:rFonts w:ascii="David" w:eastAsia="David" w:hAnsi="David" w:cs="David" w:hint="cs"/>
          <w:sz w:val="26"/>
          <w:szCs w:val="26"/>
          <w:rtl/>
        </w:rPr>
        <w:t>הוגשה ליו"ר הכנסת והסגנים</w:t>
      </w:r>
    </w:p>
    <w:p w14:paraId="5DEDAC5A" w14:textId="77777777" w:rsidR="003A0274" w:rsidRDefault="00D7209F">
      <w:pPr>
        <w:spacing w:before="0" w:line="360" w:lineRule="auto"/>
        <w:jc w:val="left"/>
      </w:pPr>
      <w:r>
        <w:rPr>
          <w:rFonts w:ascii="David" w:eastAsia="David" w:hAnsi="David" w:cs="David" w:hint="cs"/>
          <w:sz w:val="26"/>
          <w:szCs w:val="26"/>
          <w:rtl/>
        </w:rPr>
        <w:t>והונחה על שולחן הכנסת ביום</w:t>
      </w:r>
    </w:p>
    <w:p w14:paraId="01F9D3BD" w14:textId="77777777" w:rsidR="003A0274" w:rsidRDefault="00D7209F">
      <w:pPr>
        <w:spacing w:before="0" w:line="360" w:lineRule="auto"/>
        <w:jc w:val="left"/>
      </w:pPr>
      <w:r>
        <w:rPr>
          <w:rFonts w:ascii="David" w:eastAsia="David" w:hAnsi="David" w:cs="David" w:hint="cs"/>
          <w:sz w:val="26"/>
          <w:szCs w:val="26"/>
          <w:rtl/>
        </w:rPr>
        <w:t xml:space="preserve">ג' באב </w:t>
      </w:r>
      <w:proofErr w:type="spellStart"/>
      <w:r>
        <w:rPr>
          <w:rFonts w:ascii="David" w:eastAsia="David" w:hAnsi="David" w:cs="David" w:hint="cs"/>
          <w:sz w:val="26"/>
          <w:szCs w:val="26"/>
          <w:rtl/>
        </w:rPr>
        <w:t>התשפ"א</w:t>
      </w:r>
      <w:proofErr w:type="spellEnd"/>
      <w:r>
        <w:rPr>
          <w:rFonts w:ascii="David" w:eastAsia="David" w:hAnsi="David" w:cs="David" w:hint="cs"/>
          <w:sz w:val="26"/>
          <w:szCs w:val="26"/>
          <w:rtl/>
        </w:rPr>
        <w:t xml:space="preserve"> (12.07.2021) </w:t>
      </w:r>
    </w:p>
    <w:p w14:paraId="5AA38F93" w14:textId="77777777" w:rsidR="003A0274" w:rsidRDefault="003A0274">
      <w:pPr>
        <w:spacing w:before="0" w:line="276" w:lineRule="auto"/>
        <w:jc w:val="left"/>
      </w:pPr>
    </w:p>
    <w:sectPr w:rsidR="003A0274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D791" w14:textId="77777777" w:rsidR="009C7EFA" w:rsidRDefault="009C7EFA">
      <w:r>
        <w:separator/>
      </w:r>
    </w:p>
  </w:endnote>
  <w:endnote w:type="continuationSeparator" w:id="0">
    <w:p w14:paraId="023D31BF" w14:textId="77777777" w:rsidR="009C7EFA" w:rsidRDefault="009C7EFA">
      <w:r>
        <w:continuationSeparator/>
      </w:r>
    </w:p>
  </w:endnote>
  <w:endnote w:type="continuationNotice" w:id="1">
    <w:p w14:paraId="1889DEFD" w14:textId="77777777" w:rsidR="009C7EFA" w:rsidRDefault="009C7EF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61D5" w14:textId="77777777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14:paraId="7F6961D6" w14:textId="77777777" w:rsidR="002C3041" w:rsidRDefault="002C30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61D7" w14:textId="2BA17235" w:rsidR="002C3041" w:rsidRDefault="002C3041" w:rsidP="001207F8">
    <w:pPr>
      <w:pStyle w:val="a8"/>
      <w:framePr w:wrap="around" w:vAnchor="text" w:hAnchor="text" w:xAlign="center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separate"/>
    </w:r>
    <w:r w:rsidR="00D7209F">
      <w:rPr>
        <w:rStyle w:val="aa"/>
        <w:noProof/>
        <w:rtl/>
      </w:rPr>
      <w:t>2</w:t>
    </w:r>
    <w:r>
      <w:rPr>
        <w:rStyle w:val="aa"/>
        <w:rtl/>
      </w:rPr>
      <w:fldChar w:fldCharType="end"/>
    </w:r>
  </w:p>
  <w:p w14:paraId="7F6961D8" w14:textId="77777777" w:rsidR="002C3041" w:rsidRDefault="002C30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5B94" w14:textId="77777777" w:rsidR="009C7EFA" w:rsidRDefault="009C7EFA">
      <w:r>
        <w:separator/>
      </w:r>
    </w:p>
  </w:footnote>
  <w:footnote w:type="continuationSeparator" w:id="0">
    <w:p w14:paraId="33C6A66F" w14:textId="77777777" w:rsidR="009C7EFA" w:rsidRDefault="009C7EFA">
      <w:r>
        <w:continuationSeparator/>
      </w:r>
    </w:p>
  </w:footnote>
  <w:footnote w:type="continuationNotice" w:id="1">
    <w:p w14:paraId="7C8F97C2" w14:textId="77777777" w:rsidR="009C7EFA" w:rsidRDefault="009C7EFA"/>
  </w:footnote>
  <w:footnote w:id="2">
    <w:p w14:paraId="0A7C748A" w14:textId="77777777" w:rsidR="00305D95" w:rsidRDefault="00305D95" w:rsidP="00305D95">
      <w:pPr>
        <w:pStyle w:val="a4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דיני מדינת ישראל, נוסח חדש 36, עמ' 749.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2JDS0tjMwNjczNLSyUdpeDU4uLM/DyQAsNaAMUqKAcsAAAA"/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05D95"/>
    <w:rsid w:val="003232A2"/>
    <w:rsid w:val="00325C14"/>
    <w:rsid w:val="0036422C"/>
    <w:rsid w:val="003710F6"/>
    <w:rsid w:val="00386E88"/>
    <w:rsid w:val="00396585"/>
    <w:rsid w:val="003A0274"/>
    <w:rsid w:val="003D6E38"/>
    <w:rsid w:val="003D74A0"/>
    <w:rsid w:val="004033D8"/>
    <w:rsid w:val="004073F0"/>
    <w:rsid w:val="00412A7D"/>
    <w:rsid w:val="00416B4D"/>
    <w:rsid w:val="00417CFC"/>
    <w:rsid w:val="004A06DC"/>
    <w:rsid w:val="004A7297"/>
    <w:rsid w:val="004B24ED"/>
    <w:rsid w:val="004B6625"/>
    <w:rsid w:val="004D2D82"/>
    <w:rsid w:val="004D3876"/>
    <w:rsid w:val="004E4552"/>
    <w:rsid w:val="004E6CDF"/>
    <w:rsid w:val="00553C9D"/>
    <w:rsid w:val="00562A66"/>
    <w:rsid w:val="005B064E"/>
    <w:rsid w:val="005C6F6D"/>
    <w:rsid w:val="005D51AE"/>
    <w:rsid w:val="0062674B"/>
    <w:rsid w:val="006363B2"/>
    <w:rsid w:val="00644940"/>
    <w:rsid w:val="006634FD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A27CE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C7EFA"/>
    <w:rsid w:val="009D6E0A"/>
    <w:rsid w:val="009E1E33"/>
    <w:rsid w:val="00A14672"/>
    <w:rsid w:val="00A26BD6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9176A"/>
    <w:rsid w:val="00CA3DBC"/>
    <w:rsid w:val="00CF1AA2"/>
    <w:rsid w:val="00D118E1"/>
    <w:rsid w:val="00D142D3"/>
    <w:rsid w:val="00D17774"/>
    <w:rsid w:val="00D63620"/>
    <w:rsid w:val="00D7209F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5A2"/>
    <w:rsid w:val="00E63D38"/>
    <w:rsid w:val="00E665B9"/>
    <w:rsid w:val="00EA01E6"/>
    <w:rsid w:val="00EA3DE8"/>
    <w:rsid w:val="00EA758F"/>
    <w:rsid w:val="00ED4A6F"/>
    <w:rsid w:val="00EF3A3A"/>
    <w:rsid w:val="00F628D6"/>
    <w:rsid w:val="00F67051"/>
    <w:rsid w:val="00F85EF9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C3714C43-4763-47C1-8E31-96E4D038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autoRedefine/>
    <w:semiHidden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5">
    <w:name w:val="footnote reference"/>
    <w:aliases w:val="Footnote Reference"/>
    <w:basedOn w:val="a0"/>
    <w:semiHidden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6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7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9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a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b">
    <w:name w:val="Balloon Text"/>
    <w:basedOn w:val="a"/>
    <w:link w:val="ac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BE13442BF316646AF5951F2A6F4E844" ma:contentTypeVersion="" ma:contentTypeDescription="צור מסמך חדש." ma:contentTypeScope="" ma:versionID="3e09f08e861ef8c9ca8a66bc33319a22">
  <xsd:schema xmlns:xsd="http://www.w3.org/2001/XMLSchema" xmlns:xs="http://www.w3.org/2001/XMLSchema" xmlns:p="http://schemas.microsoft.com/office/2006/metadata/properties" xmlns:ns2="290d5b49-c690-4c6f-bbb9-1e50dab33eee" targetNamespace="http://schemas.microsoft.com/office/2006/metadata/properties" ma:root="true" ma:fieldsID="d7dd2f529bbe50785394ddfd47ca1ac1" ns2:_="">
    <xsd:import namespace="290d5b49-c690-4c6f-bbb9-1e50dab33ee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d5b49-c690-4c6f-bbb9-1e50dab33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069AB-A64D-49BA-B4C6-CE0F4F5B5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d5b49-c690-4c6f-bbb9-1e50dab33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2C02C-AE66-4C18-8318-A401C76A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Sher Office</cp:lastModifiedBy>
  <cp:revision>2</cp:revision>
  <cp:lastPrinted>2021-07-05T10:46:00Z</cp:lastPrinted>
  <dcterms:created xsi:type="dcterms:W3CDTF">2021-07-21T06:20:00Z</dcterms:created>
  <dcterms:modified xsi:type="dcterms:W3CDTF">2021-07-21T06:20:00Z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0x010100ABE13442BF316646AF5951F2A6F4E844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2159034</vt:r8>
  </property>
</Properties>
</file>